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EBC11" w14:textId="4560011D" w:rsidR="00BF4B66" w:rsidRPr="00BF4B66" w:rsidRDefault="00BF4B66" w:rsidP="00BF4B66">
      <w:pPr>
        <w:spacing w:after="0" w:line="276" w:lineRule="auto"/>
        <w:jc w:val="center"/>
        <w:rPr>
          <w:b/>
          <w:bCs/>
          <w:color w:val="C00000"/>
          <w:sz w:val="28"/>
          <w:szCs w:val="28"/>
          <w:lang w:val="bg-BG"/>
        </w:rPr>
      </w:pPr>
      <w:r w:rsidRPr="00BF4B66">
        <w:rPr>
          <w:b/>
          <w:bCs/>
          <w:color w:val="C00000"/>
          <w:sz w:val="28"/>
          <w:szCs w:val="28"/>
          <w:lang w:val="bg-BG"/>
        </w:rPr>
        <w:t>Междинен доклад за дейността</w:t>
      </w:r>
    </w:p>
    <w:p w14:paraId="14D5F3B5" w14:textId="008C52AF" w:rsidR="00BF4B66" w:rsidRPr="00BF4B66" w:rsidRDefault="00BF4B66" w:rsidP="00BF4B66">
      <w:pPr>
        <w:spacing w:after="0" w:line="276" w:lineRule="auto"/>
        <w:jc w:val="center"/>
        <w:rPr>
          <w:b/>
          <w:bCs/>
          <w:color w:val="C00000"/>
          <w:sz w:val="28"/>
          <w:szCs w:val="28"/>
          <w:lang w:val="bg-BG"/>
        </w:rPr>
      </w:pPr>
      <w:r w:rsidRPr="00BF4B66">
        <w:rPr>
          <w:b/>
          <w:bCs/>
          <w:color w:val="C00000"/>
          <w:sz w:val="28"/>
          <w:szCs w:val="28"/>
          <w:lang w:val="bg-BG"/>
        </w:rPr>
        <w:t>за четвърто тримесечие на 2025 г.</w:t>
      </w:r>
    </w:p>
    <w:p w14:paraId="722BB582" w14:textId="75BE3217" w:rsidR="00BF4B66" w:rsidRPr="00BF4B66" w:rsidRDefault="00BF4B66" w:rsidP="00BF4B66">
      <w:pPr>
        <w:spacing w:after="0" w:line="276" w:lineRule="auto"/>
        <w:jc w:val="center"/>
        <w:rPr>
          <w:b/>
          <w:bCs/>
          <w:color w:val="C00000"/>
          <w:sz w:val="28"/>
          <w:szCs w:val="28"/>
          <w:lang w:val="bg-BG"/>
        </w:rPr>
      </w:pPr>
      <w:r w:rsidRPr="00BF4B66">
        <w:rPr>
          <w:b/>
          <w:bCs/>
          <w:color w:val="C00000"/>
          <w:sz w:val="28"/>
          <w:szCs w:val="28"/>
          <w:lang w:val="bg-BG"/>
        </w:rPr>
        <w:t>съгласно чл.100о, ал.4, т.2 от ЗППЦК</w:t>
      </w:r>
    </w:p>
    <w:p w14:paraId="735A330D" w14:textId="77777777" w:rsidR="00BE7B7A" w:rsidRPr="00BE7B7A" w:rsidRDefault="00BE7B7A" w:rsidP="00BE7B7A">
      <w:pPr>
        <w:jc w:val="center"/>
        <w:rPr>
          <w:rFonts w:cstheme="minorHAnsi"/>
          <w:sz w:val="24"/>
          <w:szCs w:val="24"/>
          <w:lang w:val="bg-BG"/>
        </w:rPr>
      </w:pPr>
    </w:p>
    <w:p w14:paraId="08A4D1C2" w14:textId="35FE9387" w:rsidR="00BE7B7A" w:rsidRPr="00092532" w:rsidRDefault="00BE7B7A" w:rsidP="004C7557">
      <w:pPr>
        <w:pStyle w:val="Heading3"/>
        <w:rPr>
          <w:rStyle w:val="IntenseEmphasis"/>
          <w:i w:val="0"/>
          <w:iCs w:val="0"/>
        </w:rPr>
      </w:pPr>
      <w:r w:rsidRPr="00092532">
        <w:rPr>
          <w:rStyle w:val="IntenseEmphasis"/>
          <w:i w:val="0"/>
          <w:iCs w:val="0"/>
        </w:rPr>
        <w:t xml:space="preserve">ВАЖНИ СЪБИТИЯ ЗА БАЛКАНКАР ЗАРЯ АД, НАСТЪПИЛИ ПРЕЗ </w:t>
      </w:r>
      <w:r w:rsidR="00C01E70">
        <w:rPr>
          <w:rStyle w:val="IntenseEmphasis"/>
          <w:i w:val="0"/>
          <w:iCs w:val="0"/>
        </w:rPr>
        <w:t>ЧЕТВЪРТ</w:t>
      </w:r>
      <w:r w:rsidRPr="00457B0F">
        <w:rPr>
          <w:rStyle w:val="IntenseEmphasis"/>
          <w:i w:val="0"/>
          <w:iCs w:val="0"/>
        </w:rPr>
        <w:t>О</w:t>
      </w:r>
      <w:r w:rsidR="00457B0F" w:rsidRPr="00457B0F">
        <w:rPr>
          <w:rStyle w:val="IntenseEmphasis"/>
          <w:i w:val="0"/>
          <w:iCs w:val="0"/>
        </w:rPr>
        <w:t xml:space="preserve"> </w:t>
      </w:r>
      <w:r w:rsidR="001B1ECB" w:rsidRPr="00457B0F">
        <w:rPr>
          <w:rStyle w:val="IntenseEmphasis"/>
          <w:i w:val="0"/>
          <w:iCs w:val="0"/>
        </w:rPr>
        <w:t>Т</w:t>
      </w:r>
      <w:r w:rsidR="00457B0F" w:rsidRPr="00457B0F">
        <w:rPr>
          <w:rStyle w:val="IntenseEmphasis"/>
          <w:i w:val="0"/>
          <w:iCs w:val="0"/>
        </w:rPr>
        <w:t>РИ</w:t>
      </w:r>
      <w:r w:rsidRPr="00457B0F">
        <w:rPr>
          <w:rStyle w:val="IntenseEmphasis"/>
          <w:i w:val="0"/>
          <w:iCs w:val="0"/>
        </w:rPr>
        <w:t>МЕСЕЧИЕ</w:t>
      </w:r>
      <w:r w:rsidRPr="00092532">
        <w:rPr>
          <w:rStyle w:val="IntenseEmphasis"/>
          <w:i w:val="0"/>
          <w:iCs w:val="0"/>
        </w:rPr>
        <w:t xml:space="preserve"> НА 2025 Г.</w:t>
      </w:r>
    </w:p>
    <w:p w14:paraId="40B3077D" w14:textId="77777777" w:rsidR="00BE7B7A" w:rsidRPr="00BE7B7A" w:rsidRDefault="00BE7B7A" w:rsidP="00BE7B7A">
      <w:pPr>
        <w:rPr>
          <w:lang w:eastAsia="zh-CN"/>
        </w:rPr>
      </w:pPr>
    </w:p>
    <w:p w14:paraId="360FC0E4" w14:textId="77777777" w:rsidR="00BE7B7A" w:rsidRPr="00BE7B7A" w:rsidRDefault="00BE7B7A" w:rsidP="00BE7B7A">
      <w:pPr>
        <w:spacing w:line="276" w:lineRule="auto"/>
        <w:ind w:firstLine="720"/>
        <w:rPr>
          <w:rFonts w:ascii="Calibri" w:hAnsi="Calibri" w:cs="Calibri"/>
          <w:b/>
          <w:bCs/>
          <w:sz w:val="24"/>
          <w:szCs w:val="24"/>
          <w:lang w:val="bg-BG"/>
        </w:rPr>
      </w:pPr>
      <w:r w:rsidRPr="00BE7B7A">
        <w:rPr>
          <w:rFonts w:ascii="Calibri" w:hAnsi="Calibri" w:cs="Calibri"/>
          <w:b/>
          <w:bCs/>
          <w:sz w:val="24"/>
          <w:szCs w:val="24"/>
          <w:lang w:val="bg-BG"/>
        </w:rPr>
        <w:t>1.Резултати от дейността</w:t>
      </w:r>
    </w:p>
    <w:p w14:paraId="1567B443" w14:textId="7743BD9F" w:rsidR="00BE7B7A" w:rsidRPr="00C01E70" w:rsidRDefault="00BE7B7A" w:rsidP="00BE7B7A">
      <w:pPr>
        <w:spacing w:line="276" w:lineRule="auto"/>
        <w:ind w:firstLine="720"/>
        <w:jc w:val="both"/>
        <w:rPr>
          <w:rFonts w:ascii="Calibri" w:hAnsi="Calibri" w:cs="Calibri"/>
          <w:bCs/>
          <w:sz w:val="24"/>
          <w:szCs w:val="24"/>
          <w:highlight w:val="yellow"/>
          <w:lang w:val="bg-BG"/>
        </w:rPr>
      </w:pPr>
      <w:r w:rsidRPr="0092555D">
        <w:rPr>
          <w:rFonts w:ascii="Calibri" w:hAnsi="Calibri" w:cs="Calibri"/>
          <w:bCs/>
          <w:sz w:val="24"/>
          <w:szCs w:val="24"/>
          <w:lang w:val="ru-RU"/>
        </w:rPr>
        <w:t>"Балканкар ЗАРЯ''</w:t>
      </w:r>
      <w:r w:rsidRPr="0092555D">
        <w:rPr>
          <w:rFonts w:ascii="Calibri" w:hAnsi="Calibri" w:cs="Calibri"/>
          <w:bCs/>
          <w:sz w:val="24"/>
          <w:szCs w:val="24"/>
        </w:rPr>
        <w:t xml:space="preserve"> </w:t>
      </w:r>
      <w:r w:rsidRPr="0092555D">
        <w:rPr>
          <w:rFonts w:ascii="Calibri" w:hAnsi="Calibri" w:cs="Calibri"/>
          <w:bCs/>
          <w:sz w:val="24"/>
          <w:szCs w:val="24"/>
          <w:lang w:val="ru-RU"/>
        </w:rPr>
        <w:t xml:space="preserve">АД отчита приходи от продажби през </w:t>
      </w:r>
      <w:r w:rsidR="0092555D" w:rsidRPr="0092555D">
        <w:rPr>
          <w:rFonts w:ascii="Calibri" w:hAnsi="Calibri" w:cs="Calibri"/>
          <w:bCs/>
          <w:sz w:val="24"/>
          <w:szCs w:val="24"/>
          <w:lang w:val="ru-RU"/>
        </w:rPr>
        <w:t>четвърто</w:t>
      </w:r>
      <w:r w:rsidRPr="0092555D">
        <w:rPr>
          <w:rFonts w:ascii="Calibri" w:hAnsi="Calibri" w:cs="Calibri"/>
          <w:bCs/>
          <w:sz w:val="24"/>
          <w:szCs w:val="24"/>
          <w:lang w:val="ru-RU"/>
        </w:rPr>
        <w:t xml:space="preserve"> </w:t>
      </w:r>
      <w:r w:rsidR="007273D3" w:rsidRPr="0092555D">
        <w:rPr>
          <w:rFonts w:ascii="Calibri" w:hAnsi="Calibri" w:cs="Calibri"/>
          <w:bCs/>
          <w:sz w:val="24"/>
          <w:szCs w:val="24"/>
          <w:lang w:val="ru-RU"/>
        </w:rPr>
        <w:t>т</w:t>
      </w:r>
      <w:r w:rsidR="005B2F57" w:rsidRPr="0092555D">
        <w:rPr>
          <w:rFonts w:ascii="Calibri" w:hAnsi="Calibri" w:cs="Calibri"/>
          <w:bCs/>
          <w:sz w:val="24"/>
          <w:szCs w:val="24"/>
          <w:lang w:val="ru-RU"/>
        </w:rPr>
        <w:t>ри</w:t>
      </w:r>
      <w:r w:rsidRPr="0092555D">
        <w:rPr>
          <w:rFonts w:ascii="Calibri" w:hAnsi="Calibri" w:cs="Calibri"/>
          <w:bCs/>
          <w:sz w:val="24"/>
          <w:szCs w:val="24"/>
          <w:lang w:val="ru-RU"/>
        </w:rPr>
        <w:t xml:space="preserve">месечие на 2025 година в размер на </w:t>
      </w:r>
      <w:r w:rsidR="0092555D" w:rsidRPr="0092555D">
        <w:rPr>
          <w:rFonts w:ascii="Calibri" w:hAnsi="Calibri" w:cs="Calibri"/>
          <w:bCs/>
          <w:sz w:val="24"/>
          <w:szCs w:val="24"/>
          <w:lang w:val="ru-RU"/>
        </w:rPr>
        <w:t>9</w:t>
      </w:r>
      <w:r w:rsidRPr="0092555D">
        <w:rPr>
          <w:rFonts w:ascii="Calibri" w:hAnsi="Calibri" w:cs="Calibri"/>
          <w:bCs/>
          <w:sz w:val="24"/>
          <w:szCs w:val="24"/>
          <w:lang w:val="ru-RU"/>
        </w:rPr>
        <w:t xml:space="preserve"> </w:t>
      </w:r>
      <w:r w:rsidR="0092555D" w:rsidRPr="0092555D">
        <w:rPr>
          <w:rFonts w:ascii="Calibri" w:hAnsi="Calibri" w:cs="Calibri"/>
          <w:bCs/>
          <w:sz w:val="24"/>
          <w:szCs w:val="24"/>
          <w:lang w:val="ru-RU"/>
        </w:rPr>
        <w:t>815</w:t>
      </w:r>
      <w:r w:rsidRPr="0092555D">
        <w:rPr>
          <w:rFonts w:ascii="Calibri" w:hAnsi="Calibri" w:cs="Calibri"/>
          <w:bCs/>
          <w:sz w:val="24"/>
          <w:szCs w:val="24"/>
          <w:lang w:val="ru-RU"/>
        </w:rPr>
        <w:t xml:space="preserve"> хил. лв. спрямо приходи от продажби в размер на </w:t>
      </w:r>
      <w:r w:rsidR="005B2F57" w:rsidRPr="0092555D">
        <w:rPr>
          <w:rFonts w:ascii="Calibri" w:hAnsi="Calibri" w:cs="Calibri"/>
          <w:bCs/>
          <w:sz w:val="24"/>
          <w:szCs w:val="24"/>
          <w:lang w:val="ru-RU"/>
        </w:rPr>
        <w:t>1</w:t>
      </w:r>
      <w:r w:rsidR="0092555D" w:rsidRPr="0092555D">
        <w:rPr>
          <w:rFonts w:ascii="Calibri" w:hAnsi="Calibri" w:cs="Calibri"/>
          <w:bCs/>
          <w:sz w:val="24"/>
          <w:szCs w:val="24"/>
          <w:lang w:val="ru-RU"/>
        </w:rPr>
        <w:t>3</w:t>
      </w:r>
      <w:r w:rsidRPr="0092555D">
        <w:rPr>
          <w:rFonts w:ascii="Calibri" w:hAnsi="Calibri" w:cs="Calibri"/>
          <w:bCs/>
          <w:sz w:val="24"/>
          <w:szCs w:val="24"/>
          <w:lang w:val="ru-RU"/>
        </w:rPr>
        <w:t xml:space="preserve"> </w:t>
      </w:r>
      <w:r w:rsidR="0092555D" w:rsidRPr="0092555D">
        <w:rPr>
          <w:rFonts w:ascii="Calibri" w:hAnsi="Calibri" w:cs="Calibri"/>
          <w:bCs/>
          <w:sz w:val="24"/>
          <w:szCs w:val="24"/>
          <w:lang w:val="ru-RU"/>
        </w:rPr>
        <w:t>273</w:t>
      </w:r>
      <w:r w:rsidRPr="0092555D">
        <w:rPr>
          <w:rFonts w:ascii="Calibri" w:hAnsi="Calibri" w:cs="Calibri"/>
          <w:bCs/>
          <w:sz w:val="24"/>
          <w:szCs w:val="24"/>
          <w:lang w:val="ru-RU"/>
        </w:rPr>
        <w:t xml:space="preserve"> хил. лв. през сравнимия миналогодишен период. </w:t>
      </w:r>
      <w:r w:rsidRPr="0092555D">
        <w:rPr>
          <w:rFonts w:ascii="Calibri" w:hAnsi="Calibri" w:cs="Calibri"/>
          <w:bCs/>
          <w:sz w:val="24"/>
          <w:szCs w:val="24"/>
          <w:lang w:val="bg-BG"/>
        </w:rPr>
        <w:t>Намалението</w:t>
      </w:r>
      <w:r w:rsidRPr="0092555D">
        <w:rPr>
          <w:rFonts w:ascii="Calibri" w:hAnsi="Calibri" w:cs="Calibri"/>
          <w:bCs/>
          <w:sz w:val="24"/>
          <w:szCs w:val="24"/>
        </w:rPr>
        <w:t xml:space="preserve"> на годишна база</w:t>
      </w:r>
      <w:r w:rsidRPr="0092555D">
        <w:rPr>
          <w:rFonts w:ascii="Calibri" w:hAnsi="Calibri" w:cs="Calibri"/>
          <w:bCs/>
          <w:sz w:val="24"/>
          <w:szCs w:val="24"/>
          <w:lang w:val="bg-BG"/>
        </w:rPr>
        <w:t xml:space="preserve"> е в размер на</w:t>
      </w:r>
      <w:r w:rsidRPr="0092555D">
        <w:rPr>
          <w:rFonts w:ascii="Calibri" w:hAnsi="Calibri" w:cs="Calibri"/>
          <w:bCs/>
          <w:sz w:val="24"/>
          <w:szCs w:val="24"/>
        </w:rPr>
        <w:t xml:space="preserve"> </w:t>
      </w:r>
      <w:r w:rsidR="0092555D" w:rsidRPr="0092555D">
        <w:rPr>
          <w:rFonts w:ascii="Calibri" w:hAnsi="Calibri" w:cs="Calibri"/>
          <w:bCs/>
          <w:sz w:val="24"/>
          <w:szCs w:val="24"/>
          <w:lang w:val="bg-BG"/>
        </w:rPr>
        <w:t>2</w:t>
      </w:r>
      <w:r w:rsidR="005B2F57" w:rsidRPr="0092555D">
        <w:rPr>
          <w:rFonts w:ascii="Calibri" w:hAnsi="Calibri" w:cs="Calibri"/>
          <w:bCs/>
          <w:sz w:val="24"/>
          <w:szCs w:val="24"/>
          <w:lang w:val="bg-BG"/>
        </w:rPr>
        <w:t>6</w:t>
      </w:r>
      <w:r w:rsidRPr="0092555D">
        <w:rPr>
          <w:rFonts w:ascii="Calibri" w:hAnsi="Calibri" w:cs="Calibri"/>
          <w:bCs/>
          <w:sz w:val="24"/>
          <w:szCs w:val="24"/>
          <w:lang w:val="bg-BG"/>
        </w:rPr>
        <w:t>%</w:t>
      </w:r>
      <w:r w:rsidRPr="0092555D">
        <w:rPr>
          <w:rFonts w:ascii="Calibri" w:hAnsi="Calibri" w:cs="Calibri"/>
          <w:bCs/>
          <w:sz w:val="24"/>
          <w:szCs w:val="24"/>
        </w:rPr>
        <w:t>.</w:t>
      </w:r>
      <w:r w:rsidRPr="0092555D">
        <w:rPr>
          <w:rFonts w:ascii="Calibri" w:hAnsi="Calibri" w:cs="Calibri"/>
          <w:bCs/>
          <w:sz w:val="24"/>
          <w:szCs w:val="24"/>
          <w:lang w:val="bg-BG"/>
        </w:rPr>
        <w:t xml:space="preserve"> </w:t>
      </w:r>
    </w:p>
    <w:p w14:paraId="467B221D" w14:textId="4EA08C80" w:rsidR="00BE7B7A" w:rsidRPr="00F13B61" w:rsidRDefault="00BE7B7A" w:rsidP="00BE7B7A">
      <w:pPr>
        <w:spacing w:line="276" w:lineRule="auto"/>
        <w:ind w:firstLine="720"/>
        <w:jc w:val="both"/>
        <w:rPr>
          <w:rFonts w:ascii="Calibri" w:hAnsi="Calibri" w:cs="Calibri"/>
          <w:bCs/>
          <w:sz w:val="24"/>
          <w:szCs w:val="24"/>
        </w:rPr>
      </w:pPr>
      <w:r w:rsidRPr="00F13B61">
        <w:rPr>
          <w:rFonts w:ascii="Calibri" w:hAnsi="Calibri" w:cs="Calibri"/>
          <w:bCs/>
          <w:sz w:val="24"/>
          <w:szCs w:val="24"/>
          <w:lang w:val="bg-BG"/>
        </w:rPr>
        <w:t xml:space="preserve">Общо приходите от дейността през </w:t>
      </w:r>
      <w:r w:rsidR="00F13B61" w:rsidRPr="00F13B61">
        <w:rPr>
          <w:rFonts w:ascii="Calibri" w:hAnsi="Calibri" w:cs="Calibri"/>
          <w:bCs/>
          <w:sz w:val="24"/>
          <w:szCs w:val="24"/>
          <w:lang w:val="bg-BG"/>
        </w:rPr>
        <w:t>четвърто</w:t>
      </w:r>
      <w:r w:rsidRPr="00F13B61">
        <w:rPr>
          <w:rFonts w:ascii="Calibri" w:hAnsi="Calibri" w:cs="Calibri"/>
          <w:bCs/>
          <w:sz w:val="24"/>
          <w:szCs w:val="24"/>
          <w:lang w:val="bg-BG"/>
        </w:rPr>
        <w:t xml:space="preserve"> </w:t>
      </w:r>
      <w:r w:rsidR="004C7557" w:rsidRPr="00F13B61">
        <w:rPr>
          <w:rFonts w:ascii="Calibri" w:hAnsi="Calibri" w:cs="Calibri"/>
          <w:bCs/>
          <w:sz w:val="24"/>
          <w:szCs w:val="24"/>
          <w:lang w:val="bg-BG"/>
        </w:rPr>
        <w:t>т</w:t>
      </w:r>
      <w:r w:rsidR="005B2F57" w:rsidRPr="00F13B61">
        <w:rPr>
          <w:rFonts w:ascii="Calibri" w:hAnsi="Calibri" w:cs="Calibri"/>
          <w:bCs/>
          <w:sz w:val="24"/>
          <w:szCs w:val="24"/>
          <w:lang w:val="bg-BG"/>
        </w:rPr>
        <w:t>ри</w:t>
      </w:r>
      <w:r w:rsidRPr="00F13B61">
        <w:rPr>
          <w:rFonts w:ascii="Calibri" w:hAnsi="Calibri" w:cs="Calibri"/>
          <w:bCs/>
          <w:sz w:val="24"/>
          <w:szCs w:val="24"/>
          <w:lang w:val="bg-BG"/>
        </w:rPr>
        <w:t xml:space="preserve">месечие на 2025 година е в размер на </w:t>
      </w:r>
      <w:r w:rsidR="00F13B61" w:rsidRPr="00F13B61">
        <w:rPr>
          <w:rFonts w:ascii="Calibri" w:hAnsi="Calibri" w:cs="Calibri"/>
          <w:bCs/>
          <w:sz w:val="24"/>
          <w:szCs w:val="24"/>
          <w:lang w:val="bg-BG"/>
        </w:rPr>
        <w:t>10</w:t>
      </w:r>
      <w:r w:rsidRPr="00F13B61">
        <w:rPr>
          <w:rFonts w:ascii="Calibri" w:hAnsi="Calibri" w:cs="Calibri"/>
          <w:bCs/>
          <w:sz w:val="24"/>
          <w:szCs w:val="24"/>
          <w:lang w:val="bg-BG"/>
        </w:rPr>
        <w:t> </w:t>
      </w:r>
      <w:r w:rsidR="00F13B61" w:rsidRPr="00F13B61">
        <w:rPr>
          <w:rFonts w:ascii="Calibri" w:hAnsi="Calibri" w:cs="Calibri"/>
          <w:bCs/>
          <w:sz w:val="24"/>
          <w:szCs w:val="24"/>
          <w:lang w:val="bg-BG"/>
        </w:rPr>
        <w:t>473</w:t>
      </w:r>
      <w:r w:rsidRPr="00F13B61">
        <w:rPr>
          <w:rFonts w:ascii="Calibri" w:hAnsi="Calibri" w:cs="Calibri"/>
          <w:bCs/>
          <w:sz w:val="24"/>
          <w:szCs w:val="24"/>
          <w:lang w:val="bg-BG"/>
        </w:rPr>
        <w:t xml:space="preserve"> хил. лв. спрямо </w:t>
      </w:r>
      <w:r w:rsidR="005B2F57" w:rsidRPr="00F13B61">
        <w:rPr>
          <w:rFonts w:ascii="Calibri" w:hAnsi="Calibri" w:cs="Calibri"/>
          <w:bCs/>
          <w:sz w:val="24"/>
          <w:szCs w:val="24"/>
          <w:lang w:val="bg-BG"/>
        </w:rPr>
        <w:t>1</w:t>
      </w:r>
      <w:r w:rsidR="00F13B61" w:rsidRPr="00F13B61">
        <w:rPr>
          <w:rFonts w:ascii="Calibri" w:hAnsi="Calibri" w:cs="Calibri"/>
          <w:bCs/>
          <w:sz w:val="24"/>
          <w:szCs w:val="24"/>
          <w:lang w:val="bg-BG"/>
        </w:rPr>
        <w:t>3</w:t>
      </w:r>
      <w:r w:rsidRPr="00F13B61">
        <w:rPr>
          <w:rFonts w:ascii="Calibri" w:hAnsi="Calibri" w:cs="Calibri"/>
          <w:bCs/>
          <w:sz w:val="24"/>
          <w:szCs w:val="24"/>
          <w:lang w:val="bg-BG"/>
        </w:rPr>
        <w:t> </w:t>
      </w:r>
      <w:r w:rsidR="00F13B61" w:rsidRPr="00F13B61">
        <w:rPr>
          <w:rFonts w:ascii="Calibri" w:hAnsi="Calibri" w:cs="Calibri"/>
          <w:bCs/>
          <w:sz w:val="24"/>
          <w:szCs w:val="24"/>
          <w:lang w:val="bg-BG"/>
        </w:rPr>
        <w:t>4</w:t>
      </w:r>
      <w:r w:rsidR="005B2F57" w:rsidRPr="00F13B61">
        <w:rPr>
          <w:rFonts w:ascii="Calibri" w:hAnsi="Calibri" w:cs="Calibri"/>
          <w:bCs/>
          <w:sz w:val="24"/>
          <w:szCs w:val="24"/>
          <w:lang w:val="bg-BG"/>
        </w:rPr>
        <w:t>8</w:t>
      </w:r>
      <w:r w:rsidR="00F13B61" w:rsidRPr="00F13B61">
        <w:rPr>
          <w:rFonts w:ascii="Calibri" w:hAnsi="Calibri" w:cs="Calibri"/>
          <w:bCs/>
          <w:sz w:val="24"/>
          <w:szCs w:val="24"/>
          <w:lang w:val="bg-BG"/>
        </w:rPr>
        <w:t>7</w:t>
      </w:r>
      <w:r w:rsidRPr="00F13B61">
        <w:rPr>
          <w:rFonts w:ascii="Calibri" w:hAnsi="Calibri" w:cs="Calibri"/>
          <w:bCs/>
          <w:sz w:val="24"/>
          <w:szCs w:val="24"/>
          <w:lang w:val="bg-BG"/>
        </w:rPr>
        <w:t xml:space="preserve"> хил. лв.</w:t>
      </w:r>
    </w:p>
    <w:p w14:paraId="7CD8A014" w14:textId="59667FAA" w:rsidR="00BE7B7A" w:rsidRPr="00C01E70" w:rsidRDefault="00BE7B7A" w:rsidP="00BE7B7A">
      <w:pPr>
        <w:spacing w:line="276" w:lineRule="auto"/>
        <w:ind w:firstLine="720"/>
        <w:jc w:val="both"/>
        <w:rPr>
          <w:rFonts w:ascii="Calibri" w:hAnsi="Calibri" w:cs="Calibri"/>
          <w:bCs/>
          <w:sz w:val="24"/>
          <w:szCs w:val="24"/>
          <w:highlight w:val="yellow"/>
          <w:lang w:val="bg-BG"/>
        </w:rPr>
      </w:pPr>
      <w:r w:rsidRPr="00F13B61">
        <w:rPr>
          <w:rFonts w:ascii="Calibri" w:hAnsi="Calibri" w:cs="Calibri"/>
          <w:bCs/>
          <w:sz w:val="24"/>
          <w:szCs w:val="24"/>
          <w:lang w:val="bg-BG"/>
        </w:rPr>
        <w:t xml:space="preserve">Общо разходите за дейността през </w:t>
      </w:r>
      <w:r w:rsidR="00F13B61" w:rsidRPr="00F13B61">
        <w:rPr>
          <w:rFonts w:ascii="Calibri" w:hAnsi="Calibri" w:cs="Calibri"/>
          <w:bCs/>
          <w:sz w:val="24"/>
          <w:szCs w:val="24"/>
          <w:lang w:val="bg-BG"/>
        </w:rPr>
        <w:t>четвърто</w:t>
      </w:r>
      <w:r w:rsidRPr="00F13B61">
        <w:rPr>
          <w:rFonts w:ascii="Calibri" w:hAnsi="Calibri" w:cs="Calibri"/>
          <w:bCs/>
          <w:sz w:val="24"/>
          <w:szCs w:val="24"/>
          <w:lang w:val="bg-BG"/>
        </w:rPr>
        <w:t xml:space="preserve"> </w:t>
      </w:r>
      <w:r w:rsidR="004C7557" w:rsidRPr="00F13B61">
        <w:rPr>
          <w:rFonts w:ascii="Calibri" w:hAnsi="Calibri" w:cs="Calibri"/>
          <w:bCs/>
          <w:sz w:val="24"/>
          <w:szCs w:val="24"/>
          <w:lang w:val="bg-BG"/>
        </w:rPr>
        <w:t>т</w:t>
      </w:r>
      <w:r w:rsidR="006647EF" w:rsidRPr="00F13B61">
        <w:rPr>
          <w:rFonts w:ascii="Calibri" w:hAnsi="Calibri" w:cs="Calibri"/>
          <w:bCs/>
          <w:sz w:val="24"/>
          <w:szCs w:val="24"/>
          <w:lang w:val="bg-BG"/>
        </w:rPr>
        <w:t>ри</w:t>
      </w:r>
      <w:r w:rsidRPr="00F13B61">
        <w:rPr>
          <w:rFonts w:ascii="Calibri" w:hAnsi="Calibri" w:cs="Calibri"/>
          <w:bCs/>
          <w:sz w:val="24"/>
          <w:szCs w:val="24"/>
          <w:lang w:val="bg-BG"/>
        </w:rPr>
        <w:t xml:space="preserve">месечие на 2025 г. са в размер на </w:t>
      </w:r>
      <w:r w:rsidR="00F13B61">
        <w:rPr>
          <w:rFonts w:ascii="Calibri" w:hAnsi="Calibri" w:cs="Calibri"/>
          <w:bCs/>
          <w:sz w:val="24"/>
          <w:szCs w:val="24"/>
          <w:lang w:val="bg-BG"/>
        </w:rPr>
        <w:t>11 818</w:t>
      </w:r>
      <w:r w:rsidRPr="00F13B61">
        <w:rPr>
          <w:rFonts w:ascii="Calibri" w:hAnsi="Calibri" w:cs="Calibri"/>
          <w:bCs/>
          <w:sz w:val="24"/>
          <w:szCs w:val="24"/>
          <w:lang w:val="bg-BG"/>
        </w:rPr>
        <w:t xml:space="preserve"> хил. лв. спрямо разходи в размер на </w:t>
      </w:r>
      <w:r w:rsidR="00E37243" w:rsidRPr="00F13B61">
        <w:rPr>
          <w:rFonts w:ascii="Calibri" w:hAnsi="Calibri" w:cs="Calibri"/>
          <w:bCs/>
          <w:sz w:val="24"/>
          <w:szCs w:val="24"/>
          <w:lang w:val="bg-BG"/>
        </w:rPr>
        <w:t>1</w:t>
      </w:r>
      <w:r w:rsidR="00F13B61" w:rsidRPr="00F13B61">
        <w:rPr>
          <w:rFonts w:ascii="Calibri" w:hAnsi="Calibri" w:cs="Calibri"/>
          <w:bCs/>
          <w:sz w:val="24"/>
          <w:szCs w:val="24"/>
          <w:lang w:val="bg-BG"/>
        </w:rPr>
        <w:t>3</w:t>
      </w:r>
      <w:r w:rsidRPr="00F13B61">
        <w:rPr>
          <w:rFonts w:ascii="Calibri" w:hAnsi="Calibri" w:cs="Calibri"/>
          <w:bCs/>
          <w:sz w:val="24"/>
          <w:szCs w:val="24"/>
          <w:lang w:val="bg-BG"/>
        </w:rPr>
        <w:t xml:space="preserve"> </w:t>
      </w:r>
      <w:r w:rsidR="00F13B61">
        <w:rPr>
          <w:rFonts w:ascii="Calibri" w:hAnsi="Calibri" w:cs="Calibri"/>
          <w:bCs/>
          <w:sz w:val="24"/>
          <w:szCs w:val="24"/>
          <w:lang w:val="bg-BG"/>
        </w:rPr>
        <w:t>835</w:t>
      </w:r>
      <w:r w:rsidRPr="00F13B61">
        <w:rPr>
          <w:rFonts w:ascii="Calibri" w:hAnsi="Calibri" w:cs="Calibri"/>
          <w:bCs/>
          <w:sz w:val="24"/>
          <w:szCs w:val="24"/>
          <w:lang w:val="bg-BG"/>
        </w:rPr>
        <w:t xml:space="preserve"> хил. лв. през сравнимия миналогодишен период. Намалението на разходите е в размер на </w:t>
      </w:r>
      <w:r w:rsidR="00F13B61" w:rsidRPr="00F13B61">
        <w:rPr>
          <w:rFonts w:ascii="Calibri" w:hAnsi="Calibri" w:cs="Calibri"/>
          <w:bCs/>
          <w:sz w:val="24"/>
          <w:szCs w:val="24"/>
          <w:lang w:val="bg-BG"/>
        </w:rPr>
        <w:t>14</w:t>
      </w:r>
      <w:r w:rsidRPr="00F13B61">
        <w:rPr>
          <w:rFonts w:ascii="Calibri" w:hAnsi="Calibri" w:cs="Calibri"/>
          <w:bCs/>
          <w:sz w:val="24"/>
          <w:szCs w:val="24"/>
          <w:lang w:val="bg-BG"/>
        </w:rPr>
        <w:t>%.</w:t>
      </w:r>
    </w:p>
    <w:p w14:paraId="1D820E89" w14:textId="2886D802" w:rsidR="00BE7B7A" w:rsidRPr="00BE7B7A" w:rsidRDefault="00BE7B7A" w:rsidP="00BE7B7A">
      <w:pPr>
        <w:spacing w:line="276" w:lineRule="auto"/>
        <w:ind w:firstLine="720"/>
        <w:jc w:val="both"/>
        <w:rPr>
          <w:rFonts w:ascii="Calibri" w:hAnsi="Calibri" w:cs="Calibri"/>
          <w:bCs/>
          <w:sz w:val="24"/>
          <w:szCs w:val="24"/>
          <w:lang w:val="bg-BG"/>
        </w:rPr>
      </w:pPr>
      <w:r w:rsidRPr="00F13B61">
        <w:rPr>
          <w:rFonts w:ascii="Calibri" w:hAnsi="Calibri" w:cs="Calibri"/>
          <w:bCs/>
          <w:sz w:val="24"/>
          <w:szCs w:val="24"/>
          <w:lang w:val="bg-BG"/>
        </w:rPr>
        <w:t xml:space="preserve">През </w:t>
      </w:r>
      <w:r w:rsidR="00F13B61" w:rsidRPr="00F13B61">
        <w:rPr>
          <w:rFonts w:ascii="Calibri" w:hAnsi="Calibri" w:cs="Calibri"/>
          <w:bCs/>
          <w:sz w:val="24"/>
          <w:szCs w:val="24"/>
          <w:lang w:val="bg-BG"/>
        </w:rPr>
        <w:t>четвърто</w:t>
      </w:r>
      <w:r w:rsidR="004C7557" w:rsidRPr="00F13B61">
        <w:rPr>
          <w:rFonts w:ascii="Calibri" w:hAnsi="Calibri" w:cs="Calibri"/>
          <w:bCs/>
          <w:sz w:val="24"/>
          <w:szCs w:val="24"/>
          <w:lang w:val="bg-BG"/>
        </w:rPr>
        <w:t xml:space="preserve"> т</w:t>
      </w:r>
      <w:r w:rsidR="00A25FA4" w:rsidRPr="00F13B61">
        <w:rPr>
          <w:rFonts w:ascii="Calibri" w:hAnsi="Calibri" w:cs="Calibri"/>
          <w:bCs/>
          <w:sz w:val="24"/>
          <w:szCs w:val="24"/>
          <w:lang w:val="bg-BG"/>
        </w:rPr>
        <w:t>ри</w:t>
      </w:r>
      <w:r w:rsidRPr="00F13B61">
        <w:rPr>
          <w:rFonts w:ascii="Calibri" w:hAnsi="Calibri" w:cs="Calibri"/>
          <w:bCs/>
          <w:sz w:val="24"/>
          <w:szCs w:val="24"/>
          <w:lang w:val="bg-BG"/>
        </w:rPr>
        <w:t xml:space="preserve">месечие на 2025 г. „Балканкар Заря“ АД реализира </w:t>
      </w:r>
      <w:r w:rsidR="004C7557" w:rsidRPr="00F13B61">
        <w:rPr>
          <w:rFonts w:ascii="Calibri" w:hAnsi="Calibri" w:cs="Calibri"/>
          <w:bCs/>
          <w:sz w:val="24"/>
          <w:szCs w:val="24"/>
          <w:lang w:val="bg-BG"/>
        </w:rPr>
        <w:t>загуба</w:t>
      </w:r>
      <w:r w:rsidRPr="00F13B61">
        <w:rPr>
          <w:rFonts w:ascii="Calibri" w:hAnsi="Calibri" w:cs="Calibri"/>
          <w:bCs/>
          <w:sz w:val="24"/>
          <w:szCs w:val="24"/>
          <w:lang w:val="bg-BG"/>
        </w:rPr>
        <w:t xml:space="preserve"> в размер на </w:t>
      </w:r>
      <w:r w:rsidR="00F13B61" w:rsidRPr="00F13B61">
        <w:rPr>
          <w:rFonts w:ascii="Calibri" w:hAnsi="Calibri" w:cs="Calibri"/>
          <w:bCs/>
          <w:sz w:val="24"/>
          <w:szCs w:val="24"/>
          <w:lang w:val="bg-BG"/>
        </w:rPr>
        <w:t>1 345</w:t>
      </w:r>
      <w:r w:rsidRPr="00F13B61">
        <w:rPr>
          <w:rFonts w:ascii="Calibri" w:hAnsi="Calibri" w:cs="Calibri"/>
          <w:bCs/>
          <w:sz w:val="24"/>
          <w:szCs w:val="24"/>
          <w:lang w:val="bg-BG"/>
        </w:rPr>
        <w:t xml:space="preserve"> хил. лв., спрямо </w:t>
      </w:r>
      <w:r w:rsidR="00F13B61" w:rsidRPr="00F13B61">
        <w:rPr>
          <w:rFonts w:ascii="Calibri" w:hAnsi="Calibri" w:cs="Calibri"/>
          <w:bCs/>
          <w:sz w:val="24"/>
          <w:szCs w:val="24"/>
          <w:lang w:val="bg-BG"/>
        </w:rPr>
        <w:t>загуба</w:t>
      </w:r>
      <w:r w:rsidRPr="00F13B61">
        <w:rPr>
          <w:rFonts w:ascii="Calibri" w:hAnsi="Calibri" w:cs="Calibri"/>
          <w:bCs/>
          <w:sz w:val="24"/>
          <w:szCs w:val="24"/>
          <w:lang w:val="bg-BG"/>
        </w:rPr>
        <w:t xml:space="preserve"> от </w:t>
      </w:r>
      <w:r w:rsidR="00F13B61" w:rsidRPr="00F13B61">
        <w:rPr>
          <w:rFonts w:ascii="Calibri" w:hAnsi="Calibri" w:cs="Calibri"/>
          <w:bCs/>
          <w:sz w:val="24"/>
          <w:szCs w:val="24"/>
          <w:lang w:val="bg-BG"/>
        </w:rPr>
        <w:t>348</w:t>
      </w:r>
      <w:r w:rsidRPr="00F13B61">
        <w:rPr>
          <w:rFonts w:ascii="Calibri" w:hAnsi="Calibri" w:cs="Calibri"/>
          <w:bCs/>
          <w:sz w:val="24"/>
          <w:szCs w:val="24"/>
          <w:lang w:val="bg-BG"/>
        </w:rPr>
        <w:t xml:space="preserve"> хил. лв. през предходния период.</w:t>
      </w:r>
    </w:p>
    <w:p w14:paraId="0A9C3EAD" w14:textId="77777777" w:rsidR="00BE7B7A" w:rsidRPr="00BE7B7A" w:rsidRDefault="00BE7B7A" w:rsidP="00BE7B7A">
      <w:pPr>
        <w:rPr>
          <w:rFonts w:ascii="Calibri" w:hAnsi="Calibri" w:cs="Calibri"/>
          <w:b/>
          <w:bCs/>
          <w:sz w:val="24"/>
          <w:szCs w:val="24"/>
          <w:lang w:val="bg-BG"/>
        </w:rPr>
      </w:pPr>
    </w:p>
    <w:p w14:paraId="271D3503" w14:textId="7C56DD1B" w:rsidR="00BE7B7A" w:rsidRPr="00BE7B7A" w:rsidRDefault="00BE7B7A" w:rsidP="004C7557">
      <w:pPr>
        <w:pStyle w:val="Heading3"/>
        <w:rPr>
          <w:rFonts w:ascii="Calibri" w:hAnsi="Calibri" w:cs="Calibri"/>
        </w:rPr>
      </w:pPr>
      <w:r w:rsidRPr="00BE7B7A">
        <w:t xml:space="preserve">ВЛИЯНИЕ НА ВАЖНИТЕ СЪБИТИЯ ЗА БАЛКАНКАР ЗАРЯ АД, НАСТЪПИЛИ ПРЕЗ </w:t>
      </w:r>
      <w:r w:rsidR="00C01E70">
        <w:t>ЧЕТВЪРТ</w:t>
      </w:r>
      <w:r w:rsidRPr="00BE7B7A">
        <w:t xml:space="preserve">О </w:t>
      </w:r>
      <w:r w:rsidR="006E46CA">
        <w:t>Т</w:t>
      </w:r>
      <w:r w:rsidR="0069740D">
        <w:t>РИ</w:t>
      </w:r>
      <w:r w:rsidRPr="00BE7B7A">
        <w:t>МЕСЕЧИЕ НА 2025 Г. ВЪРХУ РЕЗУЛТАТИТЕ ВЪВ ФИНАНСОВИЯ ОТЧЕТ</w:t>
      </w:r>
    </w:p>
    <w:p w14:paraId="2687767A" w14:textId="77777777" w:rsidR="00BE7B7A" w:rsidRPr="00BE7B7A" w:rsidRDefault="00BE7B7A" w:rsidP="00BE7B7A">
      <w:pPr>
        <w:jc w:val="both"/>
        <w:rPr>
          <w:rFonts w:ascii="Calibri" w:hAnsi="Calibri" w:cs="Calibri"/>
          <w:b/>
          <w:bCs/>
          <w:sz w:val="24"/>
          <w:szCs w:val="24"/>
          <w:lang w:val="bg-BG"/>
        </w:rPr>
      </w:pPr>
    </w:p>
    <w:p w14:paraId="35D8FD9D" w14:textId="1076A63C" w:rsidR="00BE7B7A" w:rsidRPr="00BE7B7A" w:rsidRDefault="00BE7B7A" w:rsidP="00BE7B7A">
      <w:pPr>
        <w:spacing w:line="276" w:lineRule="auto"/>
        <w:ind w:left="284" w:right="284"/>
        <w:jc w:val="both"/>
        <w:rPr>
          <w:rFonts w:ascii="Calibri" w:hAnsi="Calibri" w:cs="Calibri"/>
          <w:bCs/>
          <w:sz w:val="24"/>
          <w:szCs w:val="24"/>
          <w:lang w:val="bg-BG"/>
        </w:rPr>
      </w:pPr>
      <w:r w:rsidRPr="00BE7B7A">
        <w:rPr>
          <w:rFonts w:ascii="Calibri" w:hAnsi="Calibri" w:cs="Calibri"/>
          <w:b/>
          <w:bCs/>
          <w:sz w:val="24"/>
          <w:szCs w:val="24"/>
          <w:lang w:val="bg-BG"/>
        </w:rPr>
        <w:t xml:space="preserve"> </w:t>
      </w:r>
      <w:r w:rsidRPr="00BE7B7A">
        <w:rPr>
          <w:rFonts w:ascii="Calibri" w:hAnsi="Calibri" w:cs="Calibri"/>
          <w:bCs/>
          <w:sz w:val="24"/>
          <w:szCs w:val="24"/>
          <w:lang w:val="bg-BG"/>
        </w:rPr>
        <w:t>Не са настъпили важни събития, които да окажат влияние върху резултатите във финансовия отчет, за</w:t>
      </w:r>
      <w:r w:rsidR="00C01E70">
        <w:rPr>
          <w:rFonts w:ascii="Calibri" w:hAnsi="Calibri" w:cs="Calibri"/>
          <w:bCs/>
          <w:sz w:val="24"/>
          <w:szCs w:val="24"/>
          <w:lang w:val="bg-BG"/>
        </w:rPr>
        <w:t xml:space="preserve"> четвърто</w:t>
      </w:r>
      <w:r w:rsidRPr="00BE7B7A">
        <w:rPr>
          <w:rFonts w:ascii="Calibri" w:hAnsi="Calibri" w:cs="Calibri"/>
          <w:bCs/>
          <w:sz w:val="24"/>
          <w:szCs w:val="24"/>
          <w:lang w:val="bg-BG"/>
        </w:rPr>
        <w:t xml:space="preserve"> </w:t>
      </w:r>
      <w:r w:rsidR="006E46CA">
        <w:rPr>
          <w:rFonts w:ascii="Calibri" w:hAnsi="Calibri" w:cs="Calibri"/>
          <w:bCs/>
          <w:sz w:val="24"/>
          <w:szCs w:val="24"/>
          <w:lang w:val="bg-BG"/>
        </w:rPr>
        <w:t>т</w:t>
      </w:r>
      <w:r w:rsidR="0069740D">
        <w:rPr>
          <w:rFonts w:ascii="Calibri" w:hAnsi="Calibri" w:cs="Calibri"/>
          <w:bCs/>
          <w:sz w:val="24"/>
          <w:szCs w:val="24"/>
          <w:lang w:val="bg-BG"/>
        </w:rPr>
        <w:t>ри</w:t>
      </w:r>
      <w:r w:rsidRPr="00BE7B7A">
        <w:rPr>
          <w:rFonts w:ascii="Calibri" w:hAnsi="Calibri" w:cs="Calibri"/>
          <w:bCs/>
          <w:sz w:val="24"/>
          <w:szCs w:val="24"/>
          <w:lang w:val="bg-BG"/>
        </w:rPr>
        <w:t>месечие на 2025 година.</w:t>
      </w:r>
    </w:p>
    <w:p w14:paraId="60863AF6" w14:textId="77777777" w:rsidR="00BE7B7A" w:rsidRPr="00BE7B7A" w:rsidRDefault="00BE7B7A" w:rsidP="00BE7B7A">
      <w:pPr>
        <w:rPr>
          <w:rFonts w:ascii="Calibri" w:hAnsi="Calibri" w:cs="Calibri"/>
          <w:sz w:val="24"/>
          <w:szCs w:val="24"/>
          <w:lang w:val="bg-BG"/>
        </w:rPr>
      </w:pPr>
    </w:p>
    <w:p w14:paraId="1890E1C9" w14:textId="5A2C813C" w:rsidR="00BE7B7A" w:rsidRPr="00BE7B7A" w:rsidRDefault="00BE7B7A" w:rsidP="004C7557">
      <w:pPr>
        <w:pStyle w:val="Heading3"/>
      </w:pPr>
      <w:r w:rsidRPr="00BE7B7A">
        <w:t>ОПИСАНИЕ НА ОСНОВНИТЕ РИСКОВЕ И НЕСИГУРНОСТИ, ПРЕД КОИТО Е ИЗПРАВЕНО ДРУЖЕСТВОТО ПРЕЗ ОСНАТАНАЛА ЧАСТ ОТ ФИНАНСОВАТА ГОДИНА</w:t>
      </w:r>
    </w:p>
    <w:p w14:paraId="09329D83" w14:textId="77777777" w:rsidR="00BE7B7A" w:rsidRPr="00BE7B7A" w:rsidRDefault="00BE7B7A" w:rsidP="00BE7B7A">
      <w:pPr>
        <w:rPr>
          <w:rFonts w:ascii="Calibri" w:hAnsi="Calibri" w:cs="Calibri"/>
          <w:b/>
          <w:bCs/>
          <w:sz w:val="24"/>
          <w:szCs w:val="24"/>
          <w:lang w:val="bg-BG"/>
        </w:rPr>
      </w:pPr>
    </w:p>
    <w:p w14:paraId="75D1549F" w14:textId="77777777" w:rsidR="00BE7B7A" w:rsidRPr="00BE7B7A" w:rsidRDefault="00BE7B7A" w:rsidP="00BE7B7A">
      <w:pPr>
        <w:spacing w:line="276" w:lineRule="auto"/>
        <w:ind w:firstLine="720"/>
        <w:jc w:val="both"/>
        <w:rPr>
          <w:rFonts w:ascii="Calibri" w:hAnsi="Calibri" w:cs="Calibri"/>
          <w:sz w:val="24"/>
          <w:szCs w:val="24"/>
          <w:lang w:val="bg-BG"/>
        </w:rPr>
      </w:pPr>
      <w:r w:rsidRPr="00BE7B7A">
        <w:rPr>
          <w:rFonts w:ascii="Calibri" w:hAnsi="Calibri" w:cs="Calibri"/>
          <w:sz w:val="24"/>
          <w:szCs w:val="24"/>
          <w:lang w:val="bg-BG"/>
        </w:rPr>
        <w:t>В зависимост от възможността да бъдат преодолявани, минимизирани или елиминирани, рисковете се разделят на систематични и несистематични:</w:t>
      </w:r>
    </w:p>
    <w:p w14:paraId="7AA85424" w14:textId="77777777" w:rsidR="00BE7B7A" w:rsidRPr="00BE7B7A" w:rsidRDefault="00BE7B7A" w:rsidP="00BE7B7A">
      <w:pPr>
        <w:spacing w:line="276" w:lineRule="auto"/>
        <w:ind w:firstLine="720"/>
        <w:jc w:val="both"/>
        <w:rPr>
          <w:rFonts w:ascii="Calibri" w:hAnsi="Calibri" w:cs="Calibri"/>
          <w:sz w:val="24"/>
          <w:szCs w:val="24"/>
          <w:lang w:val="bg-BG"/>
        </w:rPr>
      </w:pPr>
      <w:r w:rsidRPr="00BE7B7A">
        <w:rPr>
          <w:rFonts w:ascii="Calibri" w:hAnsi="Calibri" w:cs="Calibri"/>
          <w:sz w:val="24"/>
          <w:szCs w:val="24"/>
          <w:lang w:val="bg-BG"/>
        </w:rPr>
        <w:lastRenderedPageBreak/>
        <w:t>1. Систематични рискове – рискове, които зависят от общите колебания в политическата, макроикономическата и бизнес средата;</w:t>
      </w:r>
    </w:p>
    <w:p w14:paraId="26B0D700" w14:textId="77777777" w:rsidR="00BE7B7A" w:rsidRPr="00BE7B7A" w:rsidRDefault="00BE7B7A" w:rsidP="00BE7B7A">
      <w:pPr>
        <w:spacing w:line="276" w:lineRule="auto"/>
        <w:ind w:firstLine="720"/>
        <w:jc w:val="both"/>
        <w:rPr>
          <w:rFonts w:ascii="Calibri" w:hAnsi="Calibri" w:cs="Calibri"/>
          <w:sz w:val="24"/>
          <w:szCs w:val="24"/>
          <w:lang w:val="bg-BG"/>
        </w:rPr>
      </w:pPr>
      <w:r w:rsidRPr="00BE7B7A">
        <w:rPr>
          <w:rFonts w:ascii="Calibri" w:hAnsi="Calibri" w:cs="Calibri"/>
          <w:sz w:val="24"/>
          <w:szCs w:val="24"/>
          <w:lang w:val="bg-BG"/>
        </w:rPr>
        <w:t>2. Несистематични рискове – рискове, характерни за Дружеството и съответния отрасъл.</w:t>
      </w:r>
    </w:p>
    <w:p w14:paraId="6934E075" w14:textId="5FB03D29" w:rsidR="00BE7B7A" w:rsidRPr="00BE7B7A" w:rsidRDefault="00BE7B7A" w:rsidP="00BE7B7A">
      <w:pPr>
        <w:spacing w:line="276" w:lineRule="auto"/>
        <w:ind w:firstLine="720"/>
        <w:jc w:val="both"/>
        <w:rPr>
          <w:rFonts w:ascii="Calibri" w:hAnsi="Calibri" w:cs="Calibri"/>
          <w:sz w:val="24"/>
          <w:szCs w:val="24"/>
          <w:lang w:val="bg-BG"/>
        </w:rPr>
      </w:pPr>
      <w:r w:rsidRPr="00BE7B7A">
        <w:rPr>
          <w:rFonts w:ascii="Calibri" w:hAnsi="Calibri" w:cs="Calibri"/>
          <w:b/>
          <w:bCs/>
          <w:sz w:val="24"/>
          <w:szCs w:val="24"/>
          <w:lang w:val="bg-BG"/>
        </w:rPr>
        <w:t>Политическият риск</w:t>
      </w:r>
      <w:r w:rsidRPr="00BE7B7A">
        <w:rPr>
          <w:rFonts w:ascii="Calibri" w:hAnsi="Calibri" w:cs="Calibri"/>
          <w:sz w:val="24"/>
          <w:szCs w:val="24"/>
          <w:lang w:val="bg-BG"/>
        </w:rPr>
        <w:t xml:space="preserve"> е вид систематичен риск. В България политическата стабилност се основава на съвременни конституционни принципи – многопартийна парламентарна система, свободни избори, етническа толерантност и ясно разделение на властите. Положителните политически тенденции, заедно с подобряващата се макроикономическа среда, фискалната дисциплина и стратегическите регионални преимущества са важен фактор за привличане на местни и чуждестранни инвеститори.</w:t>
      </w:r>
    </w:p>
    <w:p w14:paraId="2C93D0F5" w14:textId="28BF778E" w:rsidR="00BE7B7A" w:rsidRPr="00BE7B7A" w:rsidRDefault="00BE7B7A" w:rsidP="00BE7B7A">
      <w:pPr>
        <w:spacing w:line="276" w:lineRule="auto"/>
        <w:ind w:firstLine="720"/>
        <w:jc w:val="both"/>
        <w:rPr>
          <w:rFonts w:ascii="Calibri" w:hAnsi="Calibri" w:cs="Calibri"/>
          <w:sz w:val="24"/>
          <w:szCs w:val="24"/>
          <w:lang w:val="bg-BG"/>
        </w:rPr>
      </w:pPr>
      <w:r w:rsidRPr="00BE7B7A">
        <w:rPr>
          <w:rFonts w:ascii="Calibri" w:hAnsi="Calibri" w:cs="Calibri"/>
          <w:b/>
          <w:bCs/>
          <w:sz w:val="24"/>
          <w:szCs w:val="24"/>
          <w:lang w:val="bg-BG"/>
        </w:rPr>
        <w:t>Макроикономическият риск</w:t>
      </w:r>
      <w:r w:rsidRPr="00BE7B7A">
        <w:rPr>
          <w:rFonts w:ascii="Calibri" w:hAnsi="Calibri" w:cs="Calibri"/>
          <w:sz w:val="24"/>
          <w:szCs w:val="24"/>
          <w:lang w:val="bg-BG"/>
        </w:rPr>
        <w:t xml:space="preserve"> се свързва основно с нарушаване принципите на валутния борд, с политика на увеличаване на данъчната тежест, със забавяне на растежа на световната икономика за продължителен период от време и съответно забавяне на растежа на БВП.</w:t>
      </w:r>
    </w:p>
    <w:p w14:paraId="3DC4026C" w14:textId="10E24C0E" w:rsidR="00BE7B7A" w:rsidRPr="00BE7B7A" w:rsidRDefault="00BE7B7A" w:rsidP="00BE7B7A">
      <w:pPr>
        <w:spacing w:line="276" w:lineRule="auto"/>
        <w:ind w:firstLine="720"/>
        <w:jc w:val="both"/>
        <w:rPr>
          <w:rFonts w:ascii="Calibri" w:hAnsi="Calibri" w:cs="Calibri"/>
          <w:sz w:val="24"/>
          <w:szCs w:val="24"/>
          <w:lang w:val="bg-BG"/>
        </w:rPr>
      </w:pPr>
      <w:r w:rsidRPr="00BE7B7A">
        <w:rPr>
          <w:rFonts w:ascii="Calibri" w:hAnsi="Calibri" w:cs="Calibri"/>
          <w:sz w:val="24"/>
          <w:szCs w:val="24"/>
          <w:lang w:val="bg-BG"/>
        </w:rPr>
        <w:t>Доказателство за минимизиране на този риск е постиганите в продължение на няколко поредни години ръст на БВП от 4,5 – 5,5%. Като допълнителен стимул за насърчаване на инвестициите в страната е подобрения бизнес климат, промените в данъчните и осигурителните закони, намалените данъчни тежести върху бизнеса, ниските нива на външния дълг на страната.</w:t>
      </w:r>
    </w:p>
    <w:p w14:paraId="239DC4A6" w14:textId="77777777" w:rsidR="00BE7B7A" w:rsidRPr="00BE7B7A" w:rsidRDefault="00BE7B7A" w:rsidP="00BE7B7A">
      <w:pPr>
        <w:spacing w:line="276" w:lineRule="auto"/>
        <w:ind w:firstLine="720"/>
        <w:jc w:val="both"/>
        <w:rPr>
          <w:rFonts w:ascii="Calibri" w:hAnsi="Calibri" w:cs="Calibri"/>
          <w:sz w:val="24"/>
          <w:szCs w:val="24"/>
          <w:lang w:val="bg-BG"/>
        </w:rPr>
      </w:pPr>
      <w:r w:rsidRPr="00BE7B7A">
        <w:rPr>
          <w:rFonts w:ascii="Calibri" w:hAnsi="Calibri" w:cs="Calibri"/>
          <w:b/>
          <w:bCs/>
          <w:sz w:val="24"/>
          <w:szCs w:val="24"/>
          <w:lang w:val="bg-BG"/>
        </w:rPr>
        <w:t>Валутният риск</w:t>
      </w:r>
      <w:r w:rsidRPr="00BE7B7A">
        <w:rPr>
          <w:rFonts w:ascii="Calibri" w:hAnsi="Calibri" w:cs="Calibri"/>
          <w:sz w:val="24"/>
          <w:szCs w:val="24"/>
          <w:lang w:val="bg-BG"/>
        </w:rPr>
        <w:t xml:space="preserve"> произтича от нестабилността на местната валута при силно отворена икономика като българската, водеща след себе си сравнително лесно обща икономическа нестабилност. При наличието на взаимоотношенията с чуждестранните контрагенти, се предполага, че част от приходите и разходите са деноминирани в чуждестранна валута, което неминуемо води до възможност за негативни колебания на валутния курс. Чрез въвеждане на валутен борд с фиксиране на българския лев спрямо еврото се създават условия като цяло за постигане на макроикономическа стабилност.</w:t>
      </w:r>
    </w:p>
    <w:p w14:paraId="768DDEDB" w14:textId="77777777" w:rsidR="00BE7B7A" w:rsidRDefault="00BE7B7A" w:rsidP="00BE7B7A">
      <w:pPr>
        <w:spacing w:line="276" w:lineRule="auto"/>
        <w:ind w:firstLine="720"/>
        <w:jc w:val="both"/>
        <w:rPr>
          <w:rFonts w:ascii="Calibri" w:hAnsi="Calibri" w:cs="Calibri"/>
          <w:sz w:val="24"/>
          <w:szCs w:val="24"/>
          <w:lang w:val="bg-BG"/>
        </w:rPr>
      </w:pPr>
      <w:r w:rsidRPr="00BE7B7A">
        <w:rPr>
          <w:rFonts w:ascii="Calibri" w:hAnsi="Calibri" w:cs="Calibri"/>
          <w:b/>
          <w:sz w:val="24"/>
          <w:szCs w:val="24"/>
          <w:lang w:val="bg-BG"/>
        </w:rPr>
        <w:t>Инфлационният риск</w:t>
      </w:r>
      <w:r w:rsidRPr="00BE7B7A">
        <w:rPr>
          <w:rFonts w:ascii="Calibri" w:hAnsi="Calibri" w:cs="Calibri"/>
          <w:sz w:val="24"/>
          <w:szCs w:val="24"/>
          <w:lang w:val="bg-BG"/>
        </w:rPr>
        <w:t xml:space="preserve"> се свежда основно до намаляване на покупателната способност на генерираните от дружеството доходи. След въвеждане на валутния борд в страната инфлацията намаля до нива, зависещи основно от външни фактори. Поставянето на инфлацията под  контрол доведе до стабилизиране на цялостната макроикономическа обстановка.</w:t>
      </w:r>
    </w:p>
    <w:p w14:paraId="125D2EF2" w14:textId="77777777" w:rsidR="00D118BD" w:rsidRPr="00D118BD" w:rsidRDefault="00D118BD" w:rsidP="00D118BD">
      <w:pPr>
        <w:jc w:val="right"/>
        <w:rPr>
          <w:rFonts w:ascii="Calibri" w:hAnsi="Calibri" w:cs="Calibri"/>
          <w:sz w:val="24"/>
          <w:szCs w:val="24"/>
          <w:lang w:val="bg-BG"/>
        </w:rPr>
      </w:pPr>
    </w:p>
    <w:p w14:paraId="3BAB6D7F" w14:textId="77777777" w:rsidR="00BE7B7A" w:rsidRPr="00BE7B7A" w:rsidRDefault="00BE7B7A" w:rsidP="00BE7B7A">
      <w:pPr>
        <w:spacing w:line="276" w:lineRule="auto"/>
        <w:ind w:firstLine="720"/>
        <w:jc w:val="both"/>
        <w:rPr>
          <w:rFonts w:ascii="Calibri" w:hAnsi="Calibri" w:cs="Calibri"/>
          <w:sz w:val="24"/>
          <w:szCs w:val="24"/>
          <w:lang w:val="bg-BG"/>
        </w:rPr>
      </w:pPr>
      <w:r w:rsidRPr="00BE7B7A">
        <w:rPr>
          <w:rFonts w:ascii="Calibri" w:hAnsi="Calibri" w:cs="Calibri"/>
          <w:b/>
          <w:bCs/>
          <w:sz w:val="24"/>
          <w:szCs w:val="24"/>
          <w:lang w:val="bg-BG"/>
        </w:rPr>
        <w:lastRenderedPageBreak/>
        <w:t>Лихвеният риск</w:t>
      </w:r>
      <w:r w:rsidRPr="00BE7B7A">
        <w:rPr>
          <w:rFonts w:ascii="Calibri" w:hAnsi="Calibri" w:cs="Calibri"/>
          <w:sz w:val="24"/>
          <w:szCs w:val="24"/>
          <w:lang w:val="bg-BG"/>
        </w:rPr>
        <w:t xml:space="preserve"> се свързва с възможността текущите лихвени равнища да се повишат и в резултат да намалеят генерираните доходи. Появата на промени в лихвените нива е знак за нестабилност във финансовата система в страната.  Този риск може да се управлява посредством балансирано използване на различни източници на капиталов ресурс. </w:t>
      </w:r>
    </w:p>
    <w:p w14:paraId="3A947761" w14:textId="77777777" w:rsidR="00BE7B7A" w:rsidRPr="00BE7B7A" w:rsidRDefault="00BE7B7A" w:rsidP="00BE7B7A">
      <w:pPr>
        <w:spacing w:line="276" w:lineRule="auto"/>
        <w:ind w:firstLine="720"/>
        <w:jc w:val="both"/>
        <w:rPr>
          <w:rFonts w:ascii="Calibri" w:hAnsi="Calibri" w:cs="Calibri"/>
          <w:sz w:val="24"/>
          <w:szCs w:val="24"/>
          <w:lang w:val="bg-BG"/>
        </w:rPr>
      </w:pPr>
      <w:r w:rsidRPr="00BE7B7A">
        <w:rPr>
          <w:rFonts w:ascii="Calibri" w:hAnsi="Calibri" w:cs="Calibri"/>
          <w:b/>
          <w:bCs/>
          <w:sz w:val="24"/>
          <w:szCs w:val="24"/>
          <w:lang w:val="bg-BG"/>
        </w:rPr>
        <w:t>Втората група рискове,</w:t>
      </w:r>
      <w:r w:rsidRPr="00BE7B7A">
        <w:rPr>
          <w:rFonts w:ascii="Calibri" w:hAnsi="Calibri" w:cs="Calibri"/>
          <w:sz w:val="24"/>
          <w:szCs w:val="24"/>
          <w:lang w:val="bg-BG"/>
        </w:rPr>
        <w:t xml:space="preserve"> пред които е изправено дружеството е групата на несистематичните рискове или тези специфични за самата фирма или отрасъл. Те от своя страна могат да се разгледат в две основни направления – секторен риск и фирмен риск.</w:t>
      </w:r>
    </w:p>
    <w:p w14:paraId="6CB4A0B3" w14:textId="77777777" w:rsidR="00BE7B7A" w:rsidRPr="00BE7B7A" w:rsidRDefault="00BE7B7A" w:rsidP="00BE7B7A">
      <w:pPr>
        <w:spacing w:line="276" w:lineRule="auto"/>
        <w:ind w:firstLine="720"/>
        <w:jc w:val="both"/>
        <w:rPr>
          <w:rFonts w:ascii="Calibri" w:hAnsi="Calibri" w:cs="Calibri"/>
          <w:sz w:val="24"/>
          <w:szCs w:val="24"/>
          <w:lang w:val="bg-BG"/>
        </w:rPr>
      </w:pPr>
      <w:r w:rsidRPr="00BE7B7A">
        <w:rPr>
          <w:rFonts w:ascii="Calibri" w:hAnsi="Calibri" w:cs="Calibri"/>
          <w:b/>
          <w:bCs/>
          <w:sz w:val="24"/>
          <w:szCs w:val="24"/>
          <w:lang w:val="bg-BG"/>
        </w:rPr>
        <w:t>Секторният риск</w:t>
      </w:r>
      <w:r w:rsidRPr="00BE7B7A">
        <w:rPr>
          <w:rFonts w:ascii="Calibri" w:hAnsi="Calibri" w:cs="Calibri"/>
          <w:sz w:val="24"/>
          <w:szCs w:val="24"/>
          <w:lang w:val="bg-BG"/>
        </w:rPr>
        <w:t xml:space="preserve"> се поражда от влиянието на технологичните промени в този отрасъл, от обема на паричните потоци, от компетентността на мениджмънта, силната конкуренция на външни и вътрешни производители и други. </w:t>
      </w:r>
    </w:p>
    <w:p w14:paraId="6885D269" w14:textId="77777777" w:rsidR="00BE7B7A" w:rsidRPr="00BE7B7A" w:rsidRDefault="00BE7B7A" w:rsidP="00BE7B7A">
      <w:pPr>
        <w:spacing w:line="276" w:lineRule="auto"/>
        <w:ind w:firstLine="720"/>
        <w:jc w:val="both"/>
        <w:rPr>
          <w:rFonts w:ascii="Calibri" w:hAnsi="Calibri" w:cs="Calibri"/>
          <w:sz w:val="24"/>
          <w:szCs w:val="24"/>
          <w:lang w:val="bg-BG"/>
        </w:rPr>
      </w:pPr>
      <w:r w:rsidRPr="00BE7B7A">
        <w:rPr>
          <w:rFonts w:ascii="Calibri" w:hAnsi="Calibri" w:cs="Calibri"/>
          <w:b/>
          <w:bCs/>
          <w:sz w:val="24"/>
          <w:szCs w:val="24"/>
          <w:lang w:val="bg-BG"/>
        </w:rPr>
        <w:t>Основните рискове</w:t>
      </w:r>
      <w:r w:rsidRPr="00BE7B7A">
        <w:rPr>
          <w:rFonts w:ascii="Calibri" w:hAnsi="Calibri" w:cs="Calibri"/>
          <w:sz w:val="24"/>
          <w:szCs w:val="24"/>
          <w:lang w:val="bg-BG"/>
        </w:rPr>
        <w:t>, оказващи влияние върху дейността на дружеството са:</w:t>
      </w:r>
    </w:p>
    <w:p w14:paraId="70E5E8D3" w14:textId="77777777" w:rsidR="00BE7B7A" w:rsidRPr="00BE7B7A" w:rsidRDefault="00BE7B7A" w:rsidP="00BE7B7A">
      <w:pPr>
        <w:spacing w:line="276" w:lineRule="auto"/>
        <w:ind w:firstLine="720"/>
        <w:jc w:val="both"/>
        <w:rPr>
          <w:rFonts w:ascii="Calibri" w:hAnsi="Calibri" w:cs="Calibri"/>
          <w:sz w:val="24"/>
          <w:szCs w:val="24"/>
          <w:lang w:val="bg-BG"/>
        </w:rPr>
      </w:pPr>
      <w:r w:rsidRPr="00BE7B7A">
        <w:rPr>
          <w:rFonts w:ascii="Calibri" w:hAnsi="Calibri" w:cs="Calibri"/>
          <w:sz w:val="24"/>
          <w:szCs w:val="24"/>
          <w:lang w:val="bg-BG"/>
        </w:rPr>
        <w:t>характер на търсенето – търсенето на продукцията на Дружеството може да се определи като производна от търсенето на индустриални, строителни и селскостопански машини.</w:t>
      </w:r>
    </w:p>
    <w:p w14:paraId="3F21C8F5" w14:textId="432852CB" w:rsidR="00BE7B7A" w:rsidRPr="00BE7B7A" w:rsidRDefault="00BE7B7A" w:rsidP="00BE7B7A">
      <w:pPr>
        <w:numPr>
          <w:ilvl w:val="0"/>
          <w:numId w:val="31"/>
        </w:numPr>
        <w:spacing w:after="0" w:line="276" w:lineRule="auto"/>
        <w:ind w:left="0" w:firstLine="720"/>
        <w:jc w:val="both"/>
        <w:rPr>
          <w:rFonts w:ascii="Calibri" w:hAnsi="Calibri" w:cs="Calibri"/>
          <w:sz w:val="24"/>
          <w:szCs w:val="24"/>
          <w:lang w:val="bg-BG"/>
        </w:rPr>
      </w:pPr>
      <w:r w:rsidRPr="00BE7B7A">
        <w:rPr>
          <w:rFonts w:ascii="Calibri" w:hAnsi="Calibri" w:cs="Calibri"/>
          <w:sz w:val="24"/>
          <w:szCs w:val="24"/>
          <w:lang w:val="bg-BG"/>
        </w:rPr>
        <w:t>Жизнен цикъл на експлоатация на продукта – харак</w:t>
      </w:r>
      <w:r>
        <w:rPr>
          <w:rFonts w:ascii="Calibri" w:hAnsi="Calibri" w:cs="Calibri"/>
          <w:sz w:val="24"/>
          <w:szCs w:val="24"/>
          <w:lang w:val="bg-BG"/>
        </w:rPr>
        <w:t>те</w:t>
      </w:r>
      <w:r w:rsidRPr="00BE7B7A">
        <w:rPr>
          <w:rFonts w:ascii="Calibri" w:hAnsi="Calibri" w:cs="Calibri"/>
          <w:sz w:val="24"/>
          <w:szCs w:val="24"/>
          <w:lang w:val="bg-BG"/>
        </w:rPr>
        <w:t xml:space="preserve">ризира се с дълъг жизнен цикъл </w:t>
      </w:r>
    </w:p>
    <w:p w14:paraId="0E2744D6" w14:textId="77777777" w:rsidR="00BE7B7A" w:rsidRPr="00BE7B7A" w:rsidRDefault="00BE7B7A" w:rsidP="00BE7B7A">
      <w:pPr>
        <w:numPr>
          <w:ilvl w:val="0"/>
          <w:numId w:val="31"/>
        </w:numPr>
        <w:spacing w:after="0" w:line="276" w:lineRule="auto"/>
        <w:ind w:left="0" w:firstLine="720"/>
        <w:jc w:val="both"/>
        <w:rPr>
          <w:rFonts w:ascii="Calibri" w:hAnsi="Calibri" w:cs="Calibri"/>
          <w:sz w:val="24"/>
          <w:szCs w:val="24"/>
          <w:lang w:val="bg-BG"/>
        </w:rPr>
      </w:pPr>
      <w:r w:rsidRPr="00BE7B7A">
        <w:rPr>
          <w:rFonts w:ascii="Calibri" w:hAnsi="Calibri" w:cs="Calibri"/>
          <w:sz w:val="24"/>
          <w:szCs w:val="24"/>
          <w:lang w:val="bg-BG"/>
        </w:rPr>
        <w:t>Възможности за разширяване на пазара – възможностите за разширяване на пазара са по-големи при износа, отколкото в страната.</w:t>
      </w:r>
    </w:p>
    <w:p w14:paraId="13887374" w14:textId="77777777" w:rsidR="00BE7B7A" w:rsidRPr="00BE7B7A" w:rsidRDefault="00BE7B7A" w:rsidP="00BE7B7A">
      <w:pPr>
        <w:numPr>
          <w:ilvl w:val="0"/>
          <w:numId w:val="31"/>
        </w:numPr>
        <w:spacing w:after="0" w:line="276" w:lineRule="auto"/>
        <w:ind w:left="0" w:firstLine="720"/>
        <w:jc w:val="both"/>
        <w:rPr>
          <w:rFonts w:ascii="Calibri" w:hAnsi="Calibri" w:cs="Calibri"/>
          <w:sz w:val="24"/>
          <w:szCs w:val="24"/>
          <w:lang w:val="bg-BG"/>
        </w:rPr>
      </w:pPr>
      <w:r w:rsidRPr="00BE7B7A">
        <w:rPr>
          <w:rFonts w:ascii="Calibri" w:hAnsi="Calibri" w:cs="Calibri"/>
          <w:sz w:val="24"/>
          <w:szCs w:val="24"/>
          <w:lang w:val="bg-BG"/>
        </w:rPr>
        <w:t xml:space="preserve">Иновационен риск – сектора се характеризира с ниска честота на създаване на нови продукти </w:t>
      </w:r>
    </w:p>
    <w:p w14:paraId="74C1D4F9" w14:textId="77777777" w:rsidR="00BE7B7A" w:rsidRPr="00BE7B7A" w:rsidRDefault="00BE7B7A" w:rsidP="00BE7B7A">
      <w:pPr>
        <w:numPr>
          <w:ilvl w:val="0"/>
          <w:numId w:val="31"/>
        </w:numPr>
        <w:spacing w:after="0" w:line="276" w:lineRule="auto"/>
        <w:ind w:left="0" w:firstLine="720"/>
        <w:jc w:val="both"/>
        <w:rPr>
          <w:rFonts w:ascii="Calibri" w:hAnsi="Calibri" w:cs="Calibri"/>
          <w:sz w:val="24"/>
          <w:szCs w:val="24"/>
          <w:lang w:val="bg-BG"/>
        </w:rPr>
      </w:pPr>
      <w:r w:rsidRPr="00BE7B7A">
        <w:rPr>
          <w:rFonts w:ascii="Calibri" w:hAnsi="Calibri" w:cs="Calibri"/>
          <w:sz w:val="24"/>
          <w:szCs w:val="24"/>
          <w:lang w:val="bg-BG"/>
        </w:rPr>
        <w:t>Оперативен риск – свързва се с необходимостта от поддържане на големи по обем запаси, с прецизно планиране на продажбите, поръчките и доставките.</w:t>
      </w:r>
    </w:p>
    <w:p w14:paraId="4B143843" w14:textId="3AAAE1E2" w:rsidR="00BE7B7A" w:rsidRPr="00BE7B7A" w:rsidRDefault="00BE7B7A" w:rsidP="00BE7B7A">
      <w:pPr>
        <w:spacing w:line="276" w:lineRule="auto"/>
        <w:ind w:firstLine="720"/>
        <w:jc w:val="both"/>
        <w:rPr>
          <w:rFonts w:ascii="Calibri" w:hAnsi="Calibri" w:cs="Calibri"/>
          <w:sz w:val="24"/>
          <w:szCs w:val="24"/>
          <w:lang w:val="bg-BG"/>
        </w:rPr>
      </w:pPr>
      <w:r w:rsidRPr="00BE7B7A">
        <w:rPr>
          <w:rFonts w:ascii="Calibri" w:hAnsi="Calibri" w:cs="Calibri"/>
          <w:b/>
          <w:bCs/>
          <w:sz w:val="24"/>
          <w:szCs w:val="24"/>
          <w:lang w:val="bg-BG"/>
        </w:rPr>
        <w:t>Фирменият риск</w:t>
      </w:r>
      <w:r w:rsidRPr="00BE7B7A">
        <w:rPr>
          <w:rFonts w:ascii="Calibri" w:hAnsi="Calibri" w:cs="Calibri"/>
          <w:sz w:val="24"/>
          <w:szCs w:val="24"/>
          <w:lang w:val="bg-BG"/>
        </w:rPr>
        <w:t xml:space="preserve"> обединява бизнес риска и финансовия риск. Фирменият риск е свързан с естеството на дейност на дружеството, като за всяко дружество е важно възвръщаемостта от инвестираните средства и ресурси да съответс</w:t>
      </w:r>
      <w:r>
        <w:rPr>
          <w:rFonts w:ascii="Calibri" w:hAnsi="Calibri" w:cs="Calibri"/>
          <w:sz w:val="24"/>
          <w:szCs w:val="24"/>
          <w:lang w:val="bg-BG"/>
        </w:rPr>
        <w:t>т</w:t>
      </w:r>
      <w:r w:rsidRPr="00BE7B7A">
        <w:rPr>
          <w:rFonts w:ascii="Calibri" w:hAnsi="Calibri" w:cs="Calibri"/>
          <w:sz w:val="24"/>
          <w:szCs w:val="24"/>
          <w:lang w:val="bg-BG"/>
        </w:rPr>
        <w:t xml:space="preserve">ва на риска, свързан с тази инвестиция. Вероятността за тази възвръщаемост може да бъде отчетена чрез дисперсията и стандартното отклонение. Чрез тях се отчита разсейването на всички варианти стойности на възвръщаемостта от изчислената средно претеглена величина и се дава специфична оценка на количествените аспекти на риска. </w:t>
      </w:r>
    </w:p>
    <w:p w14:paraId="61BF3A14" w14:textId="77777777" w:rsidR="00BE7B7A" w:rsidRPr="00BE7B7A" w:rsidRDefault="00BE7B7A" w:rsidP="00BE7B7A">
      <w:pPr>
        <w:spacing w:line="276" w:lineRule="auto"/>
        <w:ind w:firstLine="720"/>
        <w:jc w:val="both"/>
        <w:rPr>
          <w:rFonts w:ascii="Calibri" w:hAnsi="Calibri" w:cs="Calibri"/>
          <w:sz w:val="24"/>
          <w:szCs w:val="24"/>
          <w:lang w:val="bg-BG"/>
        </w:rPr>
      </w:pPr>
      <w:r w:rsidRPr="00BE7B7A">
        <w:rPr>
          <w:rFonts w:ascii="Calibri" w:hAnsi="Calibri" w:cs="Calibri"/>
          <w:sz w:val="24"/>
          <w:szCs w:val="24"/>
          <w:lang w:val="bg-BG"/>
        </w:rPr>
        <w:t xml:space="preserve">Основният бизнес риск за Балканкар ЗАРЯ АД е свързан с намаляване на платежоспособното търсене на продуктите и услугите, предлагани от дружеството, което би довело до неблагоприятно изменение на цените на крайния продукт. С цел ограничаване </w:t>
      </w:r>
      <w:r w:rsidRPr="00BE7B7A">
        <w:rPr>
          <w:rFonts w:ascii="Calibri" w:hAnsi="Calibri" w:cs="Calibri"/>
          <w:sz w:val="24"/>
          <w:szCs w:val="24"/>
          <w:lang w:val="bg-BG"/>
        </w:rPr>
        <w:lastRenderedPageBreak/>
        <w:t>на този риск е необходимо да се анализират основните фактори, които пораждат несигурност в ритмичното генериране на приходи от страна на компанията.</w:t>
      </w:r>
    </w:p>
    <w:p w14:paraId="00240602" w14:textId="77777777" w:rsidR="00BE7B7A" w:rsidRPr="00BE7B7A" w:rsidRDefault="00BE7B7A" w:rsidP="00BE7B7A">
      <w:pPr>
        <w:spacing w:line="276" w:lineRule="auto"/>
        <w:ind w:firstLine="720"/>
        <w:jc w:val="both"/>
        <w:rPr>
          <w:rFonts w:ascii="Calibri" w:hAnsi="Calibri" w:cs="Calibri"/>
          <w:sz w:val="24"/>
          <w:szCs w:val="24"/>
          <w:lang w:val="bg-BG"/>
        </w:rPr>
      </w:pPr>
      <w:r w:rsidRPr="00BE7B7A">
        <w:rPr>
          <w:rFonts w:ascii="Calibri" w:hAnsi="Calibri" w:cs="Calibri"/>
          <w:b/>
          <w:bCs/>
          <w:sz w:val="24"/>
          <w:szCs w:val="24"/>
          <w:lang w:val="bg-BG"/>
        </w:rPr>
        <w:t>Бизнес рискът</w:t>
      </w:r>
      <w:r w:rsidRPr="00BE7B7A">
        <w:rPr>
          <w:rFonts w:ascii="Calibri" w:hAnsi="Calibri" w:cs="Calibri"/>
          <w:sz w:val="24"/>
          <w:szCs w:val="24"/>
          <w:lang w:val="bg-BG"/>
        </w:rPr>
        <w:t xml:space="preserve"> се предопределя от самото естество на дейност на компанията. Този риск се дефинира като несигурността, свързана с получаването на приход, присъщ както за отрасъла в който фирмата функционира, така и за начина на производство на стоките и услугите. Нормално е приходите на фирмата да варират в течение на времето като функция на промените в обема на продажбите и производствените разходи.</w:t>
      </w:r>
    </w:p>
    <w:p w14:paraId="01072E0E" w14:textId="77777777" w:rsidR="00BE7B7A" w:rsidRPr="00BE7B7A" w:rsidRDefault="00BE7B7A" w:rsidP="00BE7B7A">
      <w:pPr>
        <w:spacing w:line="276" w:lineRule="auto"/>
        <w:ind w:firstLine="720"/>
        <w:jc w:val="both"/>
        <w:rPr>
          <w:rFonts w:ascii="Calibri" w:hAnsi="Calibri" w:cs="Calibri"/>
          <w:sz w:val="24"/>
          <w:szCs w:val="24"/>
          <w:lang w:val="bg-BG"/>
        </w:rPr>
      </w:pPr>
      <w:r w:rsidRPr="00BE7B7A">
        <w:rPr>
          <w:rFonts w:ascii="Calibri" w:hAnsi="Calibri" w:cs="Calibri"/>
          <w:sz w:val="24"/>
          <w:szCs w:val="24"/>
          <w:lang w:val="bg-BG"/>
        </w:rPr>
        <w:t>Финансовият риск представлява допълнителната несигурност по отношение на инвеститора за получаване на приходи в случаите, когато фирмата използва привлечени или заемни средства. Тази допълнителна финансова несигурност допълва бизнес риска. Ако фирмата, обект на анализа не привлича капитал, посредством заеми и/или дългови ценни книжа, единствената несигурност по отношение на нея ще бъде свързана с бизнес риска. Когато част от средствата, които фирмата използва, са под формата на заеми, то плащанията за тези средства представляват фиксирано задължение. Основните оперативни рискове са свързани с:</w:t>
      </w:r>
    </w:p>
    <w:p w14:paraId="0B7E92D3" w14:textId="77777777" w:rsidR="00BE7B7A" w:rsidRPr="00BE7B7A" w:rsidRDefault="00BE7B7A" w:rsidP="00BE7B7A">
      <w:pPr>
        <w:spacing w:line="276" w:lineRule="auto"/>
        <w:ind w:firstLine="720"/>
        <w:jc w:val="both"/>
        <w:rPr>
          <w:rFonts w:ascii="Calibri" w:hAnsi="Calibri" w:cs="Calibri"/>
          <w:sz w:val="24"/>
          <w:szCs w:val="24"/>
          <w:lang w:val="bg-BG"/>
        </w:rPr>
      </w:pPr>
      <w:r w:rsidRPr="00BE7B7A">
        <w:rPr>
          <w:rFonts w:ascii="Calibri" w:hAnsi="Calibri" w:cs="Calibri"/>
          <w:sz w:val="24"/>
          <w:szCs w:val="24"/>
          <w:lang w:val="bg-BG"/>
        </w:rPr>
        <w:t>- вземане на грешни инвестиционни решения от мениджърите на Дружеството</w:t>
      </w:r>
    </w:p>
    <w:p w14:paraId="11D3724C" w14:textId="77777777" w:rsidR="00BE7B7A" w:rsidRPr="00BE7B7A" w:rsidRDefault="00BE7B7A" w:rsidP="00BE7B7A">
      <w:pPr>
        <w:spacing w:line="276" w:lineRule="auto"/>
        <w:ind w:firstLine="720"/>
        <w:jc w:val="both"/>
        <w:rPr>
          <w:rFonts w:ascii="Calibri" w:hAnsi="Calibri" w:cs="Calibri"/>
          <w:sz w:val="24"/>
          <w:szCs w:val="24"/>
          <w:lang w:val="bg-BG"/>
        </w:rPr>
      </w:pPr>
      <w:r w:rsidRPr="00BE7B7A">
        <w:rPr>
          <w:rFonts w:ascii="Calibri" w:hAnsi="Calibri" w:cs="Calibri"/>
          <w:sz w:val="24"/>
          <w:szCs w:val="24"/>
          <w:lang w:val="bg-BG"/>
        </w:rPr>
        <w:t>- невъзможността на мениджмънта да стартира реализация на планирани проекти</w:t>
      </w:r>
    </w:p>
    <w:p w14:paraId="77D48AE6" w14:textId="77777777" w:rsidR="00BE7B7A" w:rsidRPr="00BE7B7A" w:rsidRDefault="00BE7B7A" w:rsidP="00BE7B7A">
      <w:pPr>
        <w:spacing w:line="276" w:lineRule="auto"/>
        <w:ind w:firstLine="720"/>
        <w:jc w:val="both"/>
        <w:rPr>
          <w:rFonts w:ascii="Calibri" w:hAnsi="Calibri" w:cs="Calibri"/>
          <w:sz w:val="24"/>
          <w:szCs w:val="24"/>
          <w:lang w:val="bg-BG"/>
        </w:rPr>
      </w:pPr>
      <w:r w:rsidRPr="00BE7B7A">
        <w:rPr>
          <w:rFonts w:ascii="Calibri" w:hAnsi="Calibri" w:cs="Calibri"/>
          <w:sz w:val="24"/>
          <w:szCs w:val="24"/>
          <w:lang w:val="bg-BG"/>
        </w:rPr>
        <w:t>- липса на подходящо ръководство за конкретните проекти</w:t>
      </w:r>
    </w:p>
    <w:p w14:paraId="2FE189B9" w14:textId="77777777" w:rsidR="00BE7B7A" w:rsidRPr="00BE7B7A" w:rsidRDefault="00BE7B7A" w:rsidP="00BE7B7A">
      <w:pPr>
        <w:spacing w:line="276" w:lineRule="auto"/>
        <w:ind w:firstLine="720"/>
        <w:jc w:val="both"/>
        <w:rPr>
          <w:rFonts w:ascii="Calibri" w:hAnsi="Calibri" w:cs="Calibri"/>
          <w:sz w:val="24"/>
          <w:szCs w:val="24"/>
          <w:lang w:val="bg-BG"/>
        </w:rPr>
      </w:pPr>
      <w:r w:rsidRPr="00BE7B7A">
        <w:rPr>
          <w:rFonts w:ascii="Calibri" w:hAnsi="Calibri" w:cs="Calibri"/>
          <w:sz w:val="24"/>
          <w:szCs w:val="24"/>
          <w:lang w:val="bg-BG"/>
        </w:rPr>
        <w:t>- напускане на ключови служители и невъзможността да се назначи персонал с нужните качества</w:t>
      </w:r>
    </w:p>
    <w:p w14:paraId="7A6D54E5" w14:textId="77777777" w:rsidR="00BE7B7A" w:rsidRPr="00BE7B7A" w:rsidRDefault="00BE7B7A" w:rsidP="00BE7B7A">
      <w:pPr>
        <w:spacing w:line="276" w:lineRule="auto"/>
        <w:ind w:firstLine="720"/>
        <w:jc w:val="both"/>
        <w:rPr>
          <w:rFonts w:ascii="Calibri" w:hAnsi="Calibri" w:cs="Calibri"/>
          <w:sz w:val="24"/>
          <w:szCs w:val="24"/>
          <w:lang w:val="bg-BG"/>
        </w:rPr>
      </w:pPr>
      <w:r w:rsidRPr="00BE7B7A">
        <w:rPr>
          <w:rFonts w:ascii="Calibri" w:hAnsi="Calibri" w:cs="Calibri"/>
          <w:sz w:val="24"/>
          <w:szCs w:val="24"/>
          <w:lang w:val="bg-BG"/>
        </w:rPr>
        <w:t>- риск от прекомерно нарастване на разходите за управление и администрация, водещ до намаляване на общата рентабилност на компанията</w:t>
      </w:r>
    </w:p>
    <w:p w14:paraId="4F5EDB76" w14:textId="77777777" w:rsidR="00BE7B7A" w:rsidRPr="00BE7B7A" w:rsidRDefault="00BE7B7A" w:rsidP="00BE7B7A">
      <w:pPr>
        <w:spacing w:line="276" w:lineRule="auto"/>
        <w:ind w:firstLine="720"/>
        <w:jc w:val="both"/>
        <w:rPr>
          <w:rFonts w:ascii="Calibri" w:hAnsi="Calibri" w:cs="Calibri"/>
          <w:sz w:val="24"/>
          <w:szCs w:val="24"/>
          <w:lang w:val="bg-BG"/>
        </w:rPr>
      </w:pPr>
      <w:r w:rsidRPr="00BE7B7A">
        <w:rPr>
          <w:rFonts w:ascii="Calibri" w:hAnsi="Calibri" w:cs="Calibri"/>
          <w:sz w:val="24"/>
          <w:szCs w:val="24"/>
          <w:lang w:val="bg-BG"/>
        </w:rPr>
        <w:t>- планиране на дейността на подизпълнителите и обезпечаване на оперативния процес.</w:t>
      </w:r>
    </w:p>
    <w:p w14:paraId="05162AE4" w14:textId="77777777" w:rsidR="00BE7B7A" w:rsidRPr="00BE7B7A" w:rsidRDefault="00BE7B7A" w:rsidP="00BE7B7A">
      <w:pPr>
        <w:spacing w:line="276" w:lineRule="auto"/>
        <w:ind w:firstLine="720"/>
        <w:jc w:val="both"/>
        <w:rPr>
          <w:rFonts w:ascii="Calibri" w:hAnsi="Calibri" w:cs="Calibri"/>
          <w:sz w:val="24"/>
          <w:szCs w:val="24"/>
          <w:lang w:val="bg-BG"/>
        </w:rPr>
      </w:pPr>
    </w:p>
    <w:p w14:paraId="3E782B52" w14:textId="0B10287A" w:rsidR="00BE7B7A" w:rsidRDefault="00BE7B7A" w:rsidP="004C7557">
      <w:pPr>
        <w:pStyle w:val="Heading3"/>
        <w:rPr>
          <w:lang w:val="en-US"/>
        </w:rPr>
      </w:pPr>
      <w:r w:rsidRPr="00BE7B7A">
        <w:t xml:space="preserve"> ИНФОРМАЦИЯ ЗА СКЛЮЧЕНИ ГОЛЕМИ СДЕЛКИ МЕЖДУ СВЪРЗАНИ ЛИЦА ПРЕЗ </w:t>
      </w:r>
      <w:r w:rsidR="00C01E70">
        <w:t>ЧЕТВЪРТО</w:t>
      </w:r>
      <w:r w:rsidRPr="00BE7B7A">
        <w:t xml:space="preserve"> </w:t>
      </w:r>
      <w:r w:rsidR="00612F7C">
        <w:t>Т</w:t>
      </w:r>
      <w:r w:rsidR="00D5030C">
        <w:t>РИ</w:t>
      </w:r>
      <w:r w:rsidRPr="00BE7B7A">
        <w:t>МЕСЕЧИЕ НА 2025 Г.</w:t>
      </w:r>
    </w:p>
    <w:p w14:paraId="5E092488" w14:textId="77777777" w:rsidR="00BE7B7A" w:rsidRPr="00BE7B7A" w:rsidRDefault="00BE7B7A" w:rsidP="00BE7B7A">
      <w:pPr>
        <w:rPr>
          <w:lang w:eastAsia="en-AU"/>
        </w:rPr>
      </w:pPr>
    </w:p>
    <w:p w14:paraId="2322AF00" w14:textId="2C419B34" w:rsidR="00BE7B7A" w:rsidRPr="00BE7B7A" w:rsidRDefault="00BE7B7A" w:rsidP="00BE7B7A">
      <w:pPr>
        <w:spacing w:line="276" w:lineRule="auto"/>
        <w:ind w:firstLine="720"/>
        <w:jc w:val="both"/>
        <w:rPr>
          <w:rFonts w:ascii="Calibri" w:hAnsi="Calibri" w:cs="Calibri"/>
          <w:sz w:val="24"/>
          <w:szCs w:val="24"/>
          <w:lang w:val="bg-BG"/>
        </w:rPr>
      </w:pPr>
      <w:r w:rsidRPr="00BE7B7A">
        <w:rPr>
          <w:rFonts w:ascii="Calibri" w:hAnsi="Calibri" w:cs="Calibri"/>
          <w:b/>
          <w:bCs/>
          <w:sz w:val="24"/>
          <w:szCs w:val="24"/>
          <w:lang w:val="bg-BG"/>
        </w:rPr>
        <w:t xml:space="preserve"> </w:t>
      </w:r>
      <w:r w:rsidRPr="00BE7B7A">
        <w:rPr>
          <w:rFonts w:ascii="Calibri" w:hAnsi="Calibri" w:cs="Calibri"/>
          <w:sz w:val="24"/>
          <w:szCs w:val="24"/>
          <w:lang w:val="bg-BG"/>
        </w:rPr>
        <w:t xml:space="preserve">Няма информация за сключени големи сделки между свързани лица през </w:t>
      </w:r>
      <w:r w:rsidR="00C01E70">
        <w:rPr>
          <w:rFonts w:ascii="Calibri" w:hAnsi="Calibri" w:cs="Calibri"/>
          <w:sz w:val="24"/>
          <w:szCs w:val="24"/>
          <w:lang w:val="bg-BG"/>
        </w:rPr>
        <w:t>четвърто</w:t>
      </w:r>
      <w:r w:rsidRPr="00BE7B7A">
        <w:rPr>
          <w:rFonts w:ascii="Calibri" w:hAnsi="Calibri" w:cs="Calibri"/>
          <w:sz w:val="24"/>
          <w:szCs w:val="24"/>
          <w:lang w:val="bg-BG"/>
        </w:rPr>
        <w:t xml:space="preserve"> </w:t>
      </w:r>
      <w:r w:rsidR="00612F7C">
        <w:rPr>
          <w:rFonts w:ascii="Calibri" w:hAnsi="Calibri" w:cs="Calibri"/>
          <w:sz w:val="24"/>
          <w:szCs w:val="24"/>
          <w:lang w:val="bg-BG"/>
        </w:rPr>
        <w:t>т</w:t>
      </w:r>
      <w:r w:rsidR="00D5030C">
        <w:rPr>
          <w:rFonts w:ascii="Calibri" w:hAnsi="Calibri" w:cs="Calibri"/>
          <w:sz w:val="24"/>
          <w:szCs w:val="24"/>
          <w:lang w:val="bg-BG"/>
        </w:rPr>
        <w:t>ри</w:t>
      </w:r>
      <w:r w:rsidRPr="00BE7B7A">
        <w:rPr>
          <w:rFonts w:ascii="Calibri" w:hAnsi="Calibri" w:cs="Calibri"/>
          <w:sz w:val="24"/>
          <w:szCs w:val="24"/>
          <w:lang w:val="bg-BG"/>
        </w:rPr>
        <w:t xml:space="preserve">месечие на 2025 г. </w:t>
      </w:r>
    </w:p>
    <w:p w14:paraId="04A04E0C" w14:textId="77777777" w:rsidR="00BE7B7A" w:rsidRPr="00BE7B7A" w:rsidRDefault="00BE7B7A" w:rsidP="00BE7B7A">
      <w:pPr>
        <w:spacing w:line="276" w:lineRule="auto"/>
        <w:ind w:firstLine="720"/>
        <w:jc w:val="both"/>
        <w:rPr>
          <w:rFonts w:ascii="Calibri" w:hAnsi="Calibri" w:cs="Calibri"/>
          <w:b/>
          <w:bCs/>
          <w:sz w:val="24"/>
          <w:szCs w:val="24"/>
          <w:lang w:val="bg-BG"/>
        </w:rPr>
      </w:pPr>
    </w:p>
    <w:p w14:paraId="14DEDAEF" w14:textId="312BD71A" w:rsidR="00BE7B7A" w:rsidRDefault="00BE7B7A" w:rsidP="004C7557">
      <w:pPr>
        <w:pStyle w:val="Heading3"/>
        <w:rPr>
          <w:lang w:val="en-US"/>
        </w:rPr>
      </w:pPr>
      <w:r w:rsidRPr="00BE7B7A">
        <w:t xml:space="preserve"> ПРОМЕНИ В СКЛЮЧЕНИТЕ СДЕЛКИ СЪС СВЪРЗАНИ ЛИЦА ПРЕЗ </w:t>
      </w:r>
      <w:r w:rsidR="00C01E70">
        <w:t>ЧЕТВЪРТО</w:t>
      </w:r>
      <w:r w:rsidRPr="00BE7B7A">
        <w:t xml:space="preserve"> </w:t>
      </w:r>
      <w:r w:rsidR="00612F7C">
        <w:t>Т</w:t>
      </w:r>
      <w:r w:rsidR="00E7504F">
        <w:t>РИ</w:t>
      </w:r>
      <w:r w:rsidRPr="00BE7B7A">
        <w:t xml:space="preserve">МЕСЕЧИЕ НА 2025 </w:t>
      </w:r>
      <w:r>
        <w:t>г</w:t>
      </w:r>
      <w:r w:rsidRPr="00BE7B7A">
        <w:t>.</w:t>
      </w:r>
    </w:p>
    <w:p w14:paraId="4676F5BD" w14:textId="77777777" w:rsidR="00BE7B7A" w:rsidRPr="00BE7B7A" w:rsidRDefault="00BE7B7A" w:rsidP="00BE7B7A">
      <w:pPr>
        <w:rPr>
          <w:lang w:eastAsia="en-AU"/>
        </w:rPr>
      </w:pPr>
    </w:p>
    <w:p w14:paraId="4481BB9F" w14:textId="6C08BE74" w:rsidR="00BE7B7A" w:rsidRPr="00BE7B7A" w:rsidRDefault="00BE7B7A" w:rsidP="00BE7B7A">
      <w:pPr>
        <w:spacing w:line="276" w:lineRule="auto"/>
        <w:jc w:val="both"/>
        <w:rPr>
          <w:rFonts w:ascii="Calibri" w:hAnsi="Calibri" w:cs="Calibri"/>
          <w:sz w:val="24"/>
          <w:szCs w:val="24"/>
          <w:lang w:val="bg-BG"/>
        </w:rPr>
      </w:pPr>
      <w:r w:rsidRPr="00BE7B7A">
        <w:rPr>
          <w:rFonts w:ascii="Calibri" w:hAnsi="Calibri" w:cs="Calibri"/>
          <w:sz w:val="24"/>
          <w:szCs w:val="24"/>
          <w:lang w:val="bg-BG"/>
        </w:rPr>
        <w:t xml:space="preserve">През </w:t>
      </w:r>
      <w:r w:rsidR="00C01E70">
        <w:rPr>
          <w:rFonts w:ascii="Calibri" w:hAnsi="Calibri" w:cs="Calibri"/>
          <w:sz w:val="24"/>
          <w:szCs w:val="24"/>
          <w:lang w:val="bg-BG"/>
        </w:rPr>
        <w:t>четвърто</w:t>
      </w:r>
      <w:r w:rsidRPr="00BE7B7A">
        <w:rPr>
          <w:rFonts w:ascii="Calibri" w:hAnsi="Calibri" w:cs="Calibri"/>
          <w:sz w:val="24"/>
          <w:szCs w:val="24"/>
          <w:lang w:val="bg-BG"/>
        </w:rPr>
        <w:t xml:space="preserve"> </w:t>
      </w:r>
      <w:r w:rsidR="00612F7C">
        <w:rPr>
          <w:rFonts w:ascii="Calibri" w:hAnsi="Calibri" w:cs="Calibri"/>
          <w:sz w:val="24"/>
          <w:szCs w:val="24"/>
          <w:lang w:val="bg-BG"/>
        </w:rPr>
        <w:t>т</w:t>
      </w:r>
      <w:r w:rsidR="00E7504F">
        <w:rPr>
          <w:rFonts w:ascii="Calibri" w:hAnsi="Calibri" w:cs="Calibri"/>
          <w:sz w:val="24"/>
          <w:szCs w:val="24"/>
          <w:lang w:val="bg-BG"/>
        </w:rPr>
        <w:t>ри</w:t>
      </w:r>
      <w:r w:rsidRPr="00BE7B7A">
        <w:rPr>
          <w:rFonts w:ascii="Calibri" w:hAnsi="Calibri" w:cs="Calibri"/>
          <w:sz w:val="24"/>
          <w:szCs w:val="24"/>
          <w:lang w:val="bg-BG"/>
        </w:rPr>
        <w:t>месечие на 2025 г. няма промени в сключените сделки със свързани лица.</w:t>
      </w:r>
    </w:p>
    <w:p w14:paraId="40079076" w14:textId="77777777" w:rsidR="00BE7B7A" w:rsidRPr="00BE7B7A" w:rsidRDefault="00BE7B7A" w:rsidP="00BE7B7A">
      <w:pPr>
        <w:spacing w:line="276" w:lineRule="auto"/>
        <w:jc w:val="both"/>
        <w:rPr>
          <w:rFonts w:ascii="Calibri" w:hAnsi="Calibri" w:cs="Calibri"/>
          <w:sz w:val="24"/>
          <w:szCs w:val="24"/>
          <w:lang w:val="bg-BG"/>
        </w:rPr>
      </w:pPr>
    </w:p>
    <w:p w14:paraId="4AC33180" w14:textId="77777777" w:rsidR="00BE7B7A" w:rsidRPr="00BE7B7A" w:rsidRDefault="00BE7B7A" w:rsidP="00BE7B7A">
      <w:pPr>
        <w:jc w:val="both"/>
        <w:rPr>
          <w:rFonts w:ascii="Calibri" w:hAnsi="Calibri" w:cs="Calibri"/>
          <w:sz w:val="24"/>
          <w:szCs w:val="24"/>
          <w:lang w:val="bg-BG"/>
        </w:rPr>
      </w:pPr>
    </w:p>
    <w:p w14:paraId="3D4ED9D6" w14:textId="77777777" w:rsidR="00BE7B7A" w:rsidRPr="00BE7B7A" w:rsidRDefault="00BE7B7A" w:rsidP="00BE7B7A">
      <w:pPr>
        <w:jc w:val="both"/>
        <w:rPr>
          <w:rFonts w:ascii="Calibri" w:hAnsi="Calibri" w:cs="Calibri"/>
          <w:sz w:val="24"/>
          <w:szCs w:val="24"/>
          <w:lang w:val="bg-BG"/>
        </w:rPr>
      </w:pPr>
    </w:p>
    <w:p w14:paraId="1507B485" w14:textId="223AD88E" w:rsidR="00BE7B7A" w:rsidRPr="00BE7B7A" w:rsidRDefault="00BE7B7A" w:rsidP="00BE7B7A">
      <w:pPr>
        <w:ind w:firstLine="720"/>
        <w:jc w:val="both"/>
        <w:rPr>
          <w:rFonts w:ascii="Calibri" w:hAnsi="Calibri" w:cs="Calibri"/>
          <w:sz w:val="24"/>
          <w:szCs w:val="24"/>
          <w:lang w:val="bg-BG"/>
        </w:rPr>
      </w:pPr>
      <w:proofErr w:type="spellStart"/>
      <w:r w:rsidRPr="00BE7B7A">
        <w:rPr>
          <w:rFonts w:ascii="Calibri" w:hAnsi="Calibri" w:cs="Calibri"/>
          <w:sz w:val="24"/>
          <w:szCs w:val="24"/>
          <w:lang w:val="bg-BG"/>
        </w:rPr>
        <w:t>Гл.счетоводител</w:t>
      </w:r>
      <w:proofErr w:type="spellEnd"/>
      <w:r w:rsidRPr="00BE7B7A">
        <w:rPr>
          <w:rFonts w:ascii="Calibri" w:hAnsi="Calibri" w:cs="Calibri"/>
          <w:sz w:val="24"/>
          <w:szCs w:val="24"/>
          <w:lang w:val="bg-BG"/>
        </w:rPr>
        <w:t xml:space="preserve">:..................                         </w:t>
      </w:r>
      <w:r w:rsidR="00822B8B">
        <w:rPr>
          <w:rFonts w:ascii="Calibri" w:hAnsi="Calibri" w:cs="Calibri"/>
          <w:sz w:val="24"/>
          <w:szCs w:val="24"/>
          <w:lang w:val="bg-BG"/>
        </w:rPr>
        <w:t xml:space="preserve"> </w:t>
      </w:r>
      <w:r w:rsidRPr="00BE7B7A">
        <w:rPr>
          <w:rFonts w:ascii="Calibri" w:hAnsi="Calibri" w:cs="Calibri"/>
          <w:sz w:val="24"/>
          <w:szCs w:val="24"/>
          <w:lang w:val="bg-BG"/>
        </w:rPr>
        <w:t xml:space="preserve">              Ръководител:................</w:t>
      </w:r>
    </w:p>
    <w:p w14:paraId="63A51A9F" w14:textId="13A4DC76" w:rsidR="00BE7B7A" w:rsidRPr="00BE7B7A" w:rsidRDefault="00BE7B7A" w:rsidP="00BE7B7A">
      <w:pPr>
        <w:jc w:val="both"/>
        <w:rPr>
          <w:rFonts w:ascii="Calibri" w:hAnsi="Calibri" w:cs="Calibri"/>
          <w:sz w:val="24"/>
          <w:szCs w:val="24"/>
          <w:lang w:val="bg-BG"/>
        </w:rPr>
      </w:pPr>
      <w:r w:rsidRPr="00BE7B7A">
        <w:rPr>
          <w:rFonts w:ascii="Calibri" w:hAnsi="Calibri" w:cs="Calibri"/>
          <w:sz w:val="24"/>
          <w:szCs w:val="24"/>
          <w:lang w:val="bg-BG"/>
        </w:rPr>
        <w:t xml:space="preserve">                     </w:t>
      </w:r>
      <w:r w:rsidRPr="00BE7B7A">
        <w:rPr>
          <w:rFonts w:ascii="Calibri" w:hAnsi="Calibri" w:cs="Calibri"/>
          <w:sz w:val="24"/>
          <w:szCs w:val="24"/>
          <w:lang w:val="bg-BG"/>
        </w:rPr>
        <w:tab/>
        <w:t xml:space="preserve">     /</w:t>
      </w:r>
      <w:proofErr w:type="spellStart"/>
      <w:r>
        <w:rPr>
          <w:rFonts w:ascii="Calibri" w:hAnsi="Calibri" w:cs="Calibri"/>
          <w:sz w:val="24"/>
          <w:szCs w:val="24"/>
          <w:lang w:val="bg-BG"/>
        </w:rPr>
        <w:t>Е</w:t>
      </w:r>
      <w:r w:rsidRPr="00BE7B7A">
        <w:rPr>
          <w:rFonts w:ascii="Calibri" w:hAnsi="Calibri" w:cs="Calibri"/>
          <w:sz w:val="24"/>
          <w:szCs w:val="24"/>
          <w:lang w:val="bg-BG"/>
        </w:rPr>
        <w:t>.</w:t>
      </w:r>
      <w:r>
        <w:rPr>
          <w:rFonts w:ascii="Calibri" w:hAnsi="Calibri" w:cs="Calibri"/>
          <w:sz w:val="24"/>
          <w:szCs w:val="24"/>
          <w:lang w:val="bg-BG"/>
        </w:rPr>
        <w:t>Марин</w:t>
      </w:r>
      <w:r w:rsidRPr="00BE7B7A">
        <w:rPr>
          <w:rFonts w:ascii="Calibri" w:hAnsi="Calibri" w:cs="Calibri"/>
          <w:sz w:val="24"/>
          <w:szCs w:val="24"/>
          <w:lang w:val="bg-BG"/>
        </w:rPr>
        <w:t>ова</w:t>
      </w:r>
      <w:proofErr w:type="spellEnd"/>
      <w:r w:rsidRPr="00BE7B7A">
        <w:rPr>
          <w:rFonts w:ascii="Calibri" w:hAnsi="Calibri" w:cs="Calibri"/>
          <w:sz w:val="24"/>
          <w:szCs w:val="24"/>
          <w:lang w:val="bg-BG"/>
        </w:rPr>
        <w:t xml:space="preserve">/                                                  </w:t>
      </w:r>
      <w:r>
        <w:rPr>
          <w:rFonts w:ascii="Calibri" w:hAnsi="Calibri" w:cs="Calibri"/>
          <w:sz w:val="24"/>
          <w:szCs w:val="24"/>
          <w:lang w:val="bg-BG"/>
        </w:rPr>
        <w:t xml:space="preserve"> </w:t>
      </w:r>
      <w:r w:rsidRPr="00BE7B7A">
        <w:rPr>
          <w:rFonts w:ascii="Calibri" w:hAnsi="Calibri" w:cs="Calibri"/>
          <w:sz w:val="24"/>
          <w:szCs w:val="24"/>
          <w:lang w:val="bg-BG"/>
        </w:rPr>
        <w:t xml:space="preserve">   </w:t>
      </w:r>
      <w:r w:rsidR="00822B8B">
        <w:rPr>
          <w:rFonts w:ascii="Calibri" w:hAnsi="Calibri" w:cs="Calibri"/>
          <w:sz w:val="24"/>
          <w:szCs w:val="24"/>
          <w:lang w:val="bg-BG"/>
        </w:rPr>
        <w:t xml:space="preserve">  </w:t>
      </w:r>
      <w:r w:rsidRPr="00BE7B7A">
        <w:rPr>
          <w:rFonts w:ascii="Calibri" w:hAnsi="Calibri" w:cs="Calibri"/>
          <w:sz w:val="24"/>
          <w:szCs w:val="24"/>
          <w:lang w:val="bg-BG"/>
        </w:rPr>
        <w:t xml:space="preserve">   </w:t>
      </w:r>
      <w:r w:rsidR="00822B8B">
        <w:rPr>
          <w:rFonts w:ascii="Calibri" w:hAnsi="Calibri" w:cs="Calibri"/>
          <w:sz w:val="24"/>
          <w:szCs w:val="24"/>
          <w:lang w:val="bg-BG"/>
        </w:rPr>
        <w:t xml:space="preserve">  </w:t>
      </w:r>
      <w:r w:rsidRPr="00BE7B7A">
        <w:rPr>
          <w:rFonts w:ascii="Calibri" w:hAnsi="Calibri" w:cs="Calibri"/>
          <w:sz w:val="24"/>
          <w:szCs w:val="24"/>
          <w:lang w:val="bg-BG"/>
        </w:rPr>
        <w:t xml:space="preserve"> /</w:t>
      </w:r>
      <w:proofErr w:type="spellStart"/>
      <w:r w:rsidRPr="00BE7B7A">
        <w:rPr>
          <w:rFonts w:ascii="Calibri" w:hAnsi="Calibri" w:cs="Calibri"/>
          <w:sz w:val="24"/>
          <w:szCs w:val="24"/>
          <w:lang w:val="bg-BG"/>
        </w:rPr>
        <w:t>В.Стойнев</w:t>
      </w:r>
      <w:proofErr w:type="spellEnd"/>
      <w:r w:rsidRPr="00BE7B7A">
        <w:rPr>
          <w:rFonts w:ascii="Calibri" w:hAnsi="Calibri" w:cs="Calibri"/>
          <w:sz w:val="24"/>
          <w:szCs w:val="24"/>
          <w:lang w:val="bg-BG"/>
        </w:rPr>
        <w:t>/</w:t>
      </w:r>
    </w:p>
    <w:p w14:paraId="4FFB2A77" w14:textId="77777777" w:rsidR="00BE7B7A" w:rsidRPr="0041755A" w:rsidRDefault="00BE7B7A" w:rsidP="00BE7B7A">
      <w:pPr>
        <w:rPr>
          <w:lang w:val="bg-BG"/>
        </w:rPr>
      </w:pPr>
    </w:p>
    <w:sdt>
      <w:sdtPr>
        <w:id w:val="1301112836"/>
        <w:docPartObj>
          <w:docPartGallery w:val="Cover Pages"/>
          <w:docPartUnique/>
        </w:docPartObj>
      </w:sdtPr>
      <w:sdtContent>
        <w:p w14:paraId="455D4042" w14:textId="332C2196" w:rsidR="00BA6F6A" w:rsidRDefault="00BA6F6A" w:rsidP="00C71D95"/>
        <w:p w14:paraId="5AF27081" w14:textId="7605D7C9" w:rsidR="00BA732E" w:rsidRPr="00CF30DF" w:rsidRDefault="00000000" w:rsidP="00046ECA">
          <w:pPr>
            <w:rPr>
              <w:lang w:val="bg-BG"/>
            </w:rPr>
          </w:pPr>
        </w:p>
      </w:sdtContent>
    </w:sdt>
    <w:sectPr w:rsidR="00BA732E" w:rsidRPr="00CF30DF" w:rsidSect="00D118BD">
      <w:headerReference w:type="default" r:id="rId9"/>
      <w:footerReference w:type="default" r:id="rId10"/>
      <w:headerReference w:type="first" r:id="rId11"/>
      <w:pgSz w:w="12240" w:h="15840"/>
      <w:pgMar w:top="1655" w:right="1440" w:bottom="1440" w:left="1440" w:header="454" w:footer="397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77A9A6" w14:textId="77777777" w:rsidR="00F63754" w:rsidRDefault="00F63754" w:rsidP="00E972CC">
      <w:pPr>
        <w:spacing w:after="0" w:line="240" w:lineRule="auto"/>
      </w:pPr>
      <w:r>
        <w:separator/>
      </w:r>
    </w:p>
    <w:p w14:paraId="5BB42D61" w14:textId="77777777" w:rsidR="00F63754" w:rsidRDefault="00F63754"/>
    <w:p w14:paraId="2A3DC79E" w14:textId="77777777" w:rsidR="00F63754" w:rsidRDefault="00F63754" w:rsidP="00AE5576"/>
  </w:endnote>
  <w:endnote w:type="continuationSeparator" w:id="0">
    <w:p w14:paraId="216FAFBE" w14:textId="77777777" w:rsidR="00F63754" w:rsidRDefault="00F63754" w:rsidP="00E972CC">
      <w:pPr>
        <w:spacing w:after="0" w:line="240" w:lineRule="auto"/>
      </w:pPr>
      <w:r>
        <w:continuationSeparator/>
      </w:r>
    </w:p>
    <w:p w14:paraId="54B5C737" w14:textId="77777777" w:rsidR="00F63754" w:rsidRDefault="00F63754"/>
    <w:p w14:paraId="5CA875DA" w14:textId="77777777" w:rsidR="00F63754" w:rsidRPr="00284547" w:rsidRDefault="00F63754" w:rsidP="00E972CC">
      <w:pPr>
        <w:pStyle w:val="Header"/>
        <w:rPr>
          <w:rFonts w:ascii="Verdana" w:hAnsi="Verdana"/>
        </w:rPr>
      </w:pPr>
    </w:p>
    <w:p w14:paraId="45BE031D" w14:textId="77777777" w:rsidR="00F63754" w:rsidRDefault="00F63754">
      <w:pPr>
        <w:pStyle w:val="Header"/>
        <w:rPr>
          <w:rFonts w:ascii="Verdana" w:hAnsi="Verdana"/>
        </w:rPr>
      </w:pPr>
    </w:p>
    <w:p w14:paraId="258A3DFD" w14:textId="77777777" w:rsidR="00F63754" w:rsidRDefault="00F63754" w:rsidP="00AE5576"/>
    <w:p w14:paraId="4378CD34" w14:textId="77777777" w:rsidR="00F63754" w:rsidRPr="00284547" w:rsidRDefault="00F63754" w:rsidP="00E972CC">
      <w:pPr>
        <w:pStyle w:val="Header"/>
        <w:rPr>
          <w:rFonts w:ascii="Verdana" w:hAnsi="Verdana"/>
        </w:rPr>
      </w:pPr>
    </w:p>
    <w:p w14:paraId="0C6529DF" w14:textId="77777777" w:rsidR="00F63754" w:rsidRDefault="00F63754">
      <w:pPr>
        <w:pStyle w:val="Header"/>
        <w:rPr>
          <w:rFonts w:ascii="Verdana" w:hAnsi="Verdan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riffith Sans Text">
    <w:altName w:val="Calibri"/>
    <w:panose1 w:val="00000000000000000000"/>
    <w:charset w:val="00"/>
    <w:family w:val="modern"/>
    <w:notTrueType/>
    <w:pitch w:val="variable"/>
    <w:sig w:usb0="A00000AF" w:usb1="0000305B" w:usb2="00000000" w:usb3="00000000" w:csb0="00000093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Verdana" w:hAnsi="Verdana"/>
        <w:sz w:val="18"/>
        <w:szCs w:val="18"/>
      </w:rPr>
      <w:id w:val="-203472505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32860A7E" w14:textId="77777777" w:rsidR="00E972CC" w:rsidRPr="00946870" w:rsidRDefault="00E972CC">
        <w:pPr>
          <w:pStyle w:val="Footer"/>
          <w:jc w:val="right"/>
          <w:rPr>
            <w:rFonts w:ascii="Verdana" w:hAnsi="Verdana"/>
            <w:sz w:val="16"/>
            <w:szCs w:val="16"/>
          </w:rPr>
        </w:pPr>
        <w:r w:rsidRPr="00F70C0E">
          <w:rPr>
            <w:rFonts w:ascii="Verdana" w:hAnsi="Verdana"/>
            <w:color w:val="CB333B"/>
            <w:sz w:val="20"/>
            <w:szCs w:val="20"/>
          </w:rPr>
          <w:t>|</w:t>
        </w:r>
        <w:r w:rsidR="00C90FC2" w:rsidRPr="00946870">
          <w:rPr>
            <w:rFonts w:ascii="Verdana" w:hAnsi="Verdana"/>
            <w:color w:val="CB333B"/>
            <w:sz w:val="16"/>
            <w:szCs w:val="16"/>
          </w:rPr>
          <w:t xml:space="preserve"> </w:t>
        </w:r>
        <w:r w:rsidRPr="00946870">
          <w:rPr>
            <w:rFonts w:ascii="Verdana" w:hAnsi="Verdana"/>
            <w:color w:val="CB333B"/>
            <w:sz w:val="16"/>
            <w:szCs w:val="16"/>
            <w:lang w:val="bg-BG"/>
          </w:rPr>
          <w:t>стр.</w:t>
        </w:r>
        <w:r w:rsidRPr="00946870">
          <w:rPr>
            <w:rFonts w:ascii="Verdana" w:hAnsi="Verdana"/>
            <w:sz w:val="16"/>
            <w:szCs w:val="16"/>
          </w:rPr>
          <w:fldChar w:fldCharType="begin"/>
        </w:r>
        <w:r w:rsidRPr="00946870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Pr="00946870">
          <w:rPr>
            <w:rFonts w:ascii="Verdana" w:hAnsi="Verdana"/>
            <w:sz w:val="16"/>
            <w:szCs w:val="16"/>
          </w:rPr>
          <w:fldChar w:fldCharType="separate"/>
        </w:r>
        <w:r w:rsidRPr="00946870">
          <w:rPr>
            <w:rFonts w:ascii="Verdana" w:hAnsi="Verdana"/>
            <w:noProof/>
            <w:sz w:val="16"/>
            <w:szCs w:val="16"/>
          </w:rPr>
          <w:t>2</w:t>
        </w:r>
        <w:r w:rsidRPr="00946870">
          <w:rPr>
            <w:rFonts w:ascii="Verdana" w:hAnsi="Verdana"/>
            <w:noProof/>
            <w:sz w:val="16"/>
            <w:szCs w:val="16"/>
          </w:rPr>
          <w:fldChar w:fldCharType="end"/>
        </w:r>
      </w:p>
    </w:sdtContent>
  </w:sdt>
  <w:p w14:paraId="5B4D47F5" w14:textId="77777777" w:rsidR="00E972CC" w:rsidRPr="00C90FC2" w:rsidRDefault="00E972CC" w:rsidP="00946870">
    <w:pPr>
      <w:pStyle w:val="Footer"/>
      <w:jc w:val="center"/>
      <w:rPr>
        <w:rFonts w:ascii="Verdana" w:hAnsi="Verdana"/>
      </w:rPr>
    </w:pPr>
  </w:p>
  <w:p w14:paraId="3ECE6715" w14:textId="77777777" w:rsidR="00FB7E4B" w:rsidRDefault="00FB7E4B"/>
  <w:p w14:paraId="0F556BBF" w14:textId="77777777" w:rsidR="00FB7E4B" w:rsidRDefault="00FB7E4B" w:rsidP="00AE557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12AD8A" w14:textId="77777777" w:rsidR="00F63754" w:rsidRDefault="00F63754" w:rsidP="00E972CC">
      <w:pPr>
        <w:spacing w:after="0" w:line="240" w:lineRule="auto"/>
      </w:pPr>
      <w:r>
        <w:separator/>
      </w:r>
    </w:p>
    <w:p w14:paraId="5E986158" w14:textId="77777777" w:rsidR="00F63754" w:rsidRDefault="00F63754"/>
    <w:p w14:paraId="16DB617C" w14:textId="77777777" w:rsidR="00F63754" w:rsidRDefault="00F63754" w:rsidP="00AE5576"/>
  </w:footnote>
  <w:footnote w:type="continuationSeparator" w:id="0">
    <w:p w14:paraId="64A2397A" w14:textId="77777777" w:rsidR="00F63754" w:rsidRDefault="00F63754" w:rsidP="00E972CC">
      <w:pPr>
        <w:spacing w:after="0" w:line="240" w:lineRule="auto"/>
      </w:pPr>
      <w:r>
        <w:continuationSeparator/>
      </w:r>
    </w:p>
    <w:p w14:paraId="3E83DDE7" w14:textId="77777777" w:rsidR="00F63754" w:rsidRDefault="00F63754"/>
    <w:p w14:paraId="63E4C5ED" w14:textId="77777777" w:rsidR="00F63754" w:rsidRDefault="00F63754" w:rsidP="00AE557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4BCF8" w14:textId="77777777" w:rsidR="001E02B3" w:rsidRDefault="001E02B3" w:rsidP="00E972CC">
    <w:pPr>
      <w:pStyle w:val="Header"/>
      <w:rPr>
        <w:rFonts w:ascii="Verdana" w:hAnsi="Verdana"/>
        <w:lang w:val="bg-BG"/>
      </w:rPr>
    </w:pPr>
    <w:bookmarkStart w:id="0" w:name="_Hlk181283127"/>
  </w:p>
  <w:p w14:paraId="73640069" w14:textId="45240212" w:rsidR="00E972CC" w:rsidRPr="00284547" w:rsidRDefault="0025664D" w:rsidP="00E972CC">
    <w:pPr>
      <w:pStyle w:val="Header"/>
      <w:rPr>
        <w:rFonts w:ascii="Verdana" w:hAnsi="Verdan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D76D17" wp14:editId="0CEE136B">
              <wp:simplePos x="0" y="0"/>
              <wp:positionH relativeFrom="margin">
                <wp:align>right</wp:align>
              </wp:positionH>
              <wp:positionV relativeFrom="paragraph">
                <wp:posOffset>196850</wp:posOffset>
              </wp:positionV>
              <wp:extent cx="1741805" cy="288925"/>
              <wp:effectExtent l="0" t="0" r="0" b="0"/>
              <wp:wrapNone/>
              <wp:docPr id="109604389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1805" cy="288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tbl>
                          <w:tblPr>
                            <w:tblW w:w="2136" w:type="dxa"/>
                            <w:jc w:val="right"/>
                            <w:tblBorders>
                              <w:right w:val="single" w:sz="8" w:space="0" w:color="CB333B"/>
                              <w:insideH w:val="single" w:sz="8" w:space="0" w:color="CB333B"/>
                              <w:insideV w:val="single" w:sz="8" w:space="0" w:color="CB333B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136"/>
                          </w:tblGrid>
                          <w:tr w:rsidR="00E972CC" w:rsidRPr="008726A5" w14:paraId="5DF2DE22" w14:textId="77777777" w:rsidTr="00FB7E4B">
                            <w:trPr>
                              <w:trHeight w:val="454"/>
                              <w:jc w:val="right"/>
                            </w:trPr>
                            <w:tc>
                              <w:tcPr>
                                <w:tcW w:w="2136" w:type="dxa"/>
                                <w:tcBorders>
                                  <w:top w:val="nil"/>
                                  <w:left w:val="single" w:sz="8" w:space="0" w:color="CB333B"/>
                                  <w:bottom w:val="nil"/>
                                  <w:right w:val="nil"/>
                                </w:tcBorders>
                                <w:vAlign w:val="bottom"/>
                                <w:hideMark/>
                              </w:tcPr>
                              <w:p w14:paraId="708FF690" w14:textId="77777777" w:rsidR="00E972CC" w:rsidRPr="002F4833" w:rsidRDefault="00E972CC" w:rsidP="00FB7E4B">
                                <w:pPr>
                                  <w:spacing w:line="240" w:lineRule="auto"/>
                                  <w:rPr>
                                    <w:rFonts w:ascii="Verdana" w:eastAsia="Times New Roman" w:hAnsi="Verdana" w:cs="Calibri"/>
                                    <w:color w:val="000000"/>
                                    <w:kern w:val="0"/>
                                    <w:sz w:val="14"/>
                                    <w:szCs w:val="14"/>
                                  </w:rPr>
                                </w:pPr>
                                <w:r w:rsidRPr="00821091">
                                  <w:rPr>
                                    <w:rFonts w:ascii="Verdana" w:eastAsia="Times New Roman" w:hAnsi="Verdana" w:cs="Calibri"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B30599">
                                  <w:rPr>
                                    <w:rFonts w:ascii="Verdana" w:eastAsia="Times New Roman" w:hAnsi="Verdana" w:cs="Calibri"/>
                                    <w:color w:val="CB333B"/>
                                    <w:kern w:val="0"/>
                                    <w:sz w:val="16"/>
                                    <w:szCs w:val="16"/>
                                  </w:rPr>
                                  <w:t>balkancar</w:t>
                                </w:r>
                                <w:r w:rsidRPr="00821091">
                                  <w:rPr>
                                    <w:rFonts w:ascii="Verdana" w:eastAsia="Times New Roman" w:hAnsi="Verdana" w:cs="Calibri"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 xml:space="preserve">zarya.com </w:t>
                                </w:r>
                              </w:p>
                            </w:tc>
                          </w:tr>
                        </w:tbl>
                        <w:p w14:paraId="4940A6E0" w14:textId="77777777" w:rsidR="00E972CC" w:rsidRDefault="00E972CC" w:rsidP="00E972C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D76D1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85.95pt;margin-top:15.5pt;width:137.15pt;height:22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" stroked="f">
              <v:textbox>
                <w:txbxContent>
                  <w:tbl>
                    <w:tblPr>
                      <w:tblW w:w="2136" w:type="dxa"/>
                      <w:jc w:val="right"/>
                      <w:tblBorders>
                        <w:right w:val="single" w:sz="8" w:space="0" w:color="CB333B"/>
                        <w:insideH w:val="single" w:sz="8" w:space="0" w:color="CB333B"/>
                        <w:insideV w:val="single" w:sz="8" w:space="0" w:color="CB333B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136"/>
                    </w:tblGrid>
                    <w:tr w:rsidR="00E972CC" w:rsidRPr="008726A5" w14:paraId="5DF2DE22" w14:textId="77777777" w:rsidTr="00FB7E4B">
                      <w:trPr>
                        <w:trHeight w:val="454"/>
                        <w:jc w:val="right"/>
                      </w:trPr>
                      <w:tc>
                        <w:tcPr>
                          <w:tcW w:w="2136" w:type="dxa"/>
                          <w:tcBorders>
                            <w:top w:val="nil"/>
                            <w:left w:val="single" w:sz="8" w:space="0" w:color="CB333B"/>
                            <w:bottom w:val="nil"/>
                            <w:right w:val="nil"/>
                          </w:tcBorders>
                          <w:vAlign w:val="bottom"/>
                          <w:hideMark/>
                        </w:tcPr>
                        <w:p w14:paraId="708FF690" w14:textId="77777777" w:rsidR="00E972CC" w:rsidRPr="002F4833" w:rsidRDefault="00E972CC" w:rsidP="00FB7E4B">
                          <w:pPr>
                            <w:spacing w:line="240" w:lineRule="auto"/>
                            <w:rPr>
                              <w:rFonts w:ascii="Verdana" w:eastAsia="Times New Roman" w:hAnsi="Verdana" w:cs="Calibri"/>
                              <w:color w:val="000000"/>
                              <w:kern w:val="0"/>
                              <w:sz w:val="14"/>
                              <w:szCs w:val="14"/>
                            </w:rPr>
                          </w:pPr>
                          <w:r w:rsidRPr="00821091">
                            <w:rPr>
                              <w:rFonts w:ascii="Verdana" w:eastAsia="Times New Roman" w:hAnsi="Verdana" w:cs="Calibri"/>
                              <w:color w:val="000000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30599">
                            <w:rPr>
                              <w:rFonts w:ascii="Verdana" w:eastAsia="Times New Roman" w:hAnsi="Verdana" w:cs="Calibri"/>
                              <w:color w:val="CB333B"/>
                              <w:kern w:val="0"/>
                              <w:sz w:val="16"/>
                              <w:szCs w:val="16"/>
                            </w:rPr>
                            <w:t>balkancar</w:t>
                          </w:r>
                          <w:r w:rsidRPr="00821091">
                            <w:rPr>
                              <w:rFonts w:ascii="Verdana" w:eastAsia="Times New Roman" w:hAnsi="Verdana" w:cs="Calibri"/>
                              <w:color w:val="000000"/>
                              <w:kern w:val="0"/>
                              <w:sz w:val="16"/>
                              <w:szCs w:val="16"/>
                            </w:rPr>
                            <w:t xml:space="preserve">zarya.com </w:t>
                          </w:r>
                        </w:p>
                      </w:tc>
                    </w:tr>
                  </w:tbl>
                  <w:p w14:paraId="4940A6E0" w14:textId="77777777" w:rsidR="00E972CC" w:rsidRDefault="00E972CC" w:rsidP="00E972CC"/>
                </w:txbxContent>
              </v:textbox>
              <w10:wrap anchorx="margin"/>
            </v:shape>
          </w:pict>
        </mc:Fallback>
      </mc:AlternateContent>
    </w:r>
    <w:r w:rsidR="00E972CC" w:rsidRPr="00284547">
      <w:rPr>
        <w:rFonts w:ascii="Verdana" w:hAnsi="Verdana"/>
        <w:noProof/>
      </w:rPr>
      <w:drawing>
        <wp:inline distT="0" distB="0" distL="0" distR="0" wp14:anchorId="4E80FC32" wp14:editId="4557F922">
          <wp:extent cx="2125980" cy="468630"/>
          <wp:effectExtent l="0" t="0" r="7620" b="7620"/>
          <wp:docPr id="97845855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5980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p w14:paraId="3FA1FBCA" w14:textId="77777777" w:rsidR="00FB7E4B" w:rsidRDefault="00FB7E4B" w:rsidP="00AE557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4C53D" w14:textId="48DCB284" w:rsidR="001E42B6" w:rsidRPr="00284547" w:rsidRDefault="0025664D" w:rsidP="00C95B7D">
    <w:pPr>
      <w:pStyle w:val="Header"/>
      <w:spacing w:after="160"/>
      <w:rPr>
        <w:rFonts w:ascii="Verdana" w:hAnsi="Verdan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AFD6790" wp14:editId="37DD88FA">
              <wp:simplePos x="0" y="0"/>
              <wp:positionH relativeFrom="margin">
                <wp:align>right</wp:align>
              </wp:positionH>
              <wp:positionV relativeFrom="paragraph">
                <wp:posOffset>196850</wp:posOffset>
              </wp:positionV>
              <wp:extent cx="1741805" cy="288925"/>
              <wp:effectExtent l="0" t="0" r="0" b="0"/>
              <wp:wrapNone/>
              <wp:docPr id="19821246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1805" cy="288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tbl>
                          <w:tblPr>
                            <w:tblW w:w="2136" w:type="dxa"/>
                            <w:jc w:val="right"/>
                            <w:tblBorders>
                              <w:right w:val="single" w:sz="8" w:space="0" w:color="CB333B"/>
                              <w:insideH w:val="single" w:sz="8" w:space="0" w:color="CB333B"/>
                              <w:insideV w:val="single" w:sz="8" w:space="0" w:color="CB333B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136"/>
                          </w:tblGrid>
                          <w:tr w:rsidR="001E42B6" w:rsidRPr="008726A5" w14:paraId="7E26E44C" w14:textId="77777777" w:rsidTr="00FB7E4B">
                            <w:trPr>
                              <w:trHeight w:val="454"/>
                              <w:jc w:val="right"/>
                            </w:trPr>
                            <w:tc>
                              <w:tcPr>
                                <w:tcW w:w="2136" w:type="dxa"/>
                                <w:tcBorders>
                                  <w:top w:val="nil"/>
                                  <w:left w:val="single" w:sz="8" w:space="0" w:color="CB333B"/>
                                  <w:bottom w:val="nil"/>
                                  <w:right w:val="nil"/>
                                </w:tcBorders>
                                <w:vAlign w:val="bottom"/>
                                <w:hideMark/>
                              </w:tcPr>
                              <w:p w14:paraId="79604AEA" w14:textId="77777777" w:rsidR="001E42B6" w:rsidRPr="002F4833" w:rsidRDefault="00A03598" w:rsidP="00FB7E4B">
                                <w:pPr>
                                  <w:spacing w:line="240" w:lineRule="auto"/>
                                  <w:rPr>
                                    <w:rFonts w:ascii="Verdana" w:eastAsia="Times New Roman" w:hAnsi="Verdana" w:cs="Calibri"/>
                                    <w:color w:val="000000"/>
                                    <w:kern w:val="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Verdana" w:eastAsia="Times New Roman" w:hAnsi="Verdana" w:cs="Calibri"/>
                                    <w:color w:val="CB333B"/>
                                    <w:kern w:val="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1E42B6" w:rsidRPr="00B30599">
                                  <w:rPr>
                                    <w:rFonts w:ascii="Verdana" w:eastAsia="Times New Roman" w:hAnsi="Verdana" w:cs="Calibri"/>
                                    <w:color w:val="CB333B"/>
                                    <w:kern w:val="0"/>
                                    <w:sz w:val="16"/>
                                    <w:szCs w:val="16"/>
                                  </w:rPr>
                                  <w:t>balkancar</w:t>
                                </w:r>
                                <w:r w:rsidR="001E42B6" w:rsidRPr="00821091">
                                  <w:rPr>
                                    <w:rFonts w:ascii="Verdana" w:eastAsia="Times New Roman" w:hAnsi="Verdana" w:cs="Calibri"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 xml:space="preserve">zarya.com </w:t>
                                </w:r>
                              </w:p>
                            </w:tc>
                          </w:tr>
                        </w:tbl>
                        <w:p w14:paraId="35112A07" w14:textId="77777777" w:rsidR="001E42B6" w:rsidRDefault="001E42B6" w:rsidP="001E42B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FD679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85.95pt;margin-top:15.5pt;width:137.15pt;height:22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" stroked="f">
              <v:textbox>
                <w:txbxContent>
                  <w:tbl>
                    <w:tblPr>
                      <w:tblW w:w="2136" w:type="dxa"/>
                      <w:jc w:val="right"/>
                      <w:tblBorders>
                        <w:right w:val="single" w:sz="8" w:space="0" w:color="CB333B"/>
                        <w:insideH w:val="single" w:sz="8" w:space="0" w:color="CB333B"/>
                        <w:insideV w:val="single" w:sz="8" w:space="0" w:color="CB333B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136"/>
                    </w:tblGrid>
                    <w:tr w:rsidR="001E42B6" w:rsidRPr="008726A5" w14:paraId="7E26E44C" w14:textId="77777777" w:rsidTr="00FB7E4B">
                      <w:trPr>
                        <w:trHeight w:val="454"/>
                        <w:jc w:val="right"/>
                      </w:trPr>
                      <w:tc>
                        <w:tcPr>
                          <w:tcW w:w="2136" w:type="dxa"/>
                          <w:tcBorders>
                            <w:top w:val="nil"/>
                            <w:left w:val="single" w:sz="8" w:space="0" w:color="CB333B"/>
                            <w:bottom w:val="nil"/>
                            <w:right w:val="nil"/>
                          </w:tcBorders>
                          <w:vAlign w:val="bottom"/>
                          <w:hideMark/>
                        </w:tcPr>
                        <w:p w14:paraId="79604AEA" w14:textId="77777777" w:rsidR="001E42B6" w:rsidRPr="002F4833" w:rsidRDefault="00A03598" w:rsidP="00FB7E4B">
                          <w:pPr>
                            <w:spacing w:line="240" w:lineRule="auto"/>
                            <w:rPr>
                              <w:rFonts w:ascii="Verdana" w:eastAsia="Times New Roman" w:hAnsi="Verdana" w:cs="Calibri"/>
                              <w:color w:val="000000"/>
                              <w:kern w:val="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eastAsia="Times New Roman" w:hAnsi="Verdana" w:cs="Calibri"/>
                              <w:color w:val="CB333B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1E42B6" w:rsidRPr="00B30599">
                            <w:rPr>
                              <w:rFonts w:ascii="Verdana" w:eastAsia="Times New Roman" w:hAnsi="Verdana" w:cs="Calibri"/>
                              <w:color w:val="CB333B"/>
                              <w:kern w:val="0"/>
                              <w:sz w:val="16"/>
                              <w:szCs w:val="16"/>
                            </w:rPr>
                            <w:t>balkancar</w:t>
                          </w:r>
                          <w:r w:rsidR="001E42B6" w:rsidRPr="00821091">
                            <w:rPr>
                              <w:rFonts w:ascii="Verdana" w:eastAsia="Times New Roman" w:hAnsi="Verdana" w:cs="Calibri"/>
                              <w:color w:val="000000"/>
                              <w:kern w:val="0"/>
                              <w:sz w:val="16"/>
                              <w:szCs w:val="16"/>
                            </w:rPr>
                            <w:t xml:space="preserve">zarya.com </w:t>
                          </w:r>
                        </w:p>
                      </w:tc>
                    </w:tr>
                  </w:tbl>
                  <w:p w14:paraId="35112A07" w14:textId="77777777" w:rsidR="001E42B6" w:rsidRDefault="001E42B6" w:rsidP="001E42B6"/>
                </w:txbxContent>
              </v:textbox>
              <w10:wrap anchorx="margin"/>
            </v:shape>
          </w:pict>
        </mc:Fallback>
      </mc:AlternateContent>
    </w:r>
    <w:r w:rsidR="001E42B6" w:rsidRPr="00284547">
      <w:rPr>
        <w:rFonts w:ascii="Verdana" w:hAnsi="Verdana"/>
        <w:noProof/>
      </w:rPr>
      <w:drawing>
        <wp:inline distT="0" distB="0" distL="0" distR="0" wp14:anchorId="467AF3D3" wp14:editId="75E8D0CC">
          <wp:extent cx="2125980" cy="468630"/>
          <wp:effectExtent l="0" t="0" r="7620" b="7620"/>
          <wp:docPr id="4383676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5980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FF6363" w14:textId="77777777" w:rsidR="001E42B6" w:rsidRPr="00E21C2A" w:rsidRDefault="001E42B6" w:rsidP="001E42B6">
    <w:pPr>
      <w:pStyle w:val="Header"/>
      <w:rPr>
        <w:rFonts w:ascii="Verdana" w:hAnsi="Verdana"/>
      </w:rPr>
    </w:pPr>
  </w:p>
  <w:p w14:paraId="3E94CFF1" w14:textId="77777777" w:rsidR="001E42B6" w:rsidRPr="00E21C2A" w:rsidRDefault="001E42B6">
    <w:pPr>
      <w:pStyle w:val="Header"/>
      <w:rPr>
        <w:rFonts w:ascii="Verdana" w:hAnsi="Verdan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C3A11"/>
    <w:multiLevelType w:val="hybridMultilevel"/>
    <w:tmpl w:val="9722847E"/>
    <w:lvl w:ilvl="0" w:tplc="CD0AB3E2">
      <w:start w:val="18"/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89C72FE"/>
    <w:multiLevelType w:val="hybridMultilevel"/>
    <w:tmpl w:val="A3CA2D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144AC"/>
    <w:multiLevelType w:val="hybridMultilevel"/>
    <w:tmpl w:val="D5D013FA"/>
    <w:lvl w:ilvl="0" w:tplc="EDEC25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51F30"/>
      </w:rPr>
    </w:lvl>
    <w:lvl w:ilvl="1" w:tplc="080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2FD6763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E30918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067F48"/>
    <w:multiLevelType w:val="hybridMultilevel"/>
    <w:tmpl w:val="B1C8B58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ED46DA"/>
    <w:multiLevelType w:val="hybridMultilevel"/>
    <w:tmpl w:val="9C3420C0"/>
    <w:lvl w:ilvl="0" w:tplc="EDEC25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51F3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21F58"/>
    <w:multiLevelType w:val="hybridMultilevel"/>
    <w:tmpl w:val="3C4C8C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AD17A27"/>
    <w:multiLevelType w:val="hybridMultilevel"/>
    <w:tmpl w:val="C57A770A"/>
    <w:lvl w:ilvl="0" w:tplc="A17A69EA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D5D3D99"/>
    <w:multiLevelType w:val="hybridMultilevel"/>
    <w:tmpl w:val="EAAC45AE"/>
    <w:lvl w:ilvl="0" w:tplc="3A4E0A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6E7CEC"/>
    <w:multiLevelType w:val="hybridMultilevel"/>
    <w:tmpl w:val="E6BA03DE"/>
    <w:lvl w:ilvl="0" w:tplc="A042B54E">
      <w:start w:val="1"/>
      <w:numFmt w:val="decimal"/>
      <w:lvlText w:val="%1."/>
      <w:lvlJc w:val="left"/>
      <w:pPr>
        <w:ind w:left="720" w:hanging="360"/>
      </w:pPr>
      <w:rPr>
        <w:color w:val="E51F3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613132"/>
    <w:multiLevelType w:val="hybridMultilevel"/>
    <w:tmpl w:val="FD067E32"/>
    <w:lvl w:ilvl="0" w:tplc="D34204B8">
      <w:start w:val="1"/>
      <w:numFmt w:val="decimal"/>
      <w:pStyle w:val="Heading2"/>
      <w:lvlText w:val="%1.0"/>
      <w:lvlJc w:val="left"/>
      <w:pPr>
        <w:ind w:left="1080" w:hanging="360"/>
      </w:pPr>
      <w:rPr>
        <w:rFonts w:hint="default"/>
        <w:color w:val="E51F3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2842C0B"/>
    <w:multiLevelType w:val="hybridMultilevel"/>
    <w:tmpl w:val="06B0E9FE"/>
    <w:lvl w:ilvl="0" w:tplc="7BF4A58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3CB363D"/>
    <w:multiLevelType w:val="hybridMultilevel"/>
    <w:tmpl w:val="1B6440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6496000"/>
    <w:multiLevelType w:val="multilevel"/>
    <w:tmpl w:val="6C16EBC2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413A096D"/>
    <w:multiLevelType w:val="hybridMultilevel"/>
    <w:tmpl w:val="E702CA5A"/>
    <w:lvl w:ilvl="0" w:tplc="976A509C">
      <w:start w:val="1"/>
      <w:numFmt w:val="upperRoman"/>
      <w:pStyle w:val="Heading3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C24881"/>
    <w:multiLevelType w:val="hybridMultilevel"/>
    <w:tmpl w:val="C06C6DCA"/>
    <w:lvl w:ilvl="0" w:tplc="D31A4D8E">
      <w:start w:val="15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088337A"/>
    <w:multiLevelType w:val="hybridMultilevel"/>
    <w:tmpl w:val="FD6A99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217059B"/>
    <w:multiLevelType w:val="hybridMultilevel"/>
    <w:tmpl w:val="0254C00C"/>
    <w:lvl w:ilvl="0" w:tplc="4CD4D1F8">
      <w:start w:val="1"/>
      <w:numFmt w:val="bullet"/>
      <w:pStyle w:val="ListParagraph"/>
      <w:lvlText w:val=""/>
      <w:lvlJc w:val="left"/>
      <w:pPr>
        <w:ind w:left="433" w:hanging="433"/>
      </w:pPr>
      <w:rPr>
        <w:rFonts w:ascii="Symbol" w:hAnsi="Symbol" w:hint="default"/>
        <w:color w:val="E51F3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0309B4"/>
    <w:multiLevelType w:val="multilevel"/>
    <w:tmpl w:val="6C16EBC2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8" w15:restartNumberingAfterBreak="0">
    <w:nsid w:val="61136561"/>
    <w:multiLevelType w:val="hybridMultilevel"/>
    <w:tmpl w:val="10B8B4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D38418C"/>
    <w:multiLevelType w:val="hybridMultilevel"/>
    <w:tmpl w:val="9322EDB0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0831CBE"/>
    <w:multiLevelType w:val="multilevel"/>
    <w:tmpl w:val="6C16EBC2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1" w15:restartNumberingAfterBreak="0">
    <w:nsid w:val="72F31BC0"/>
    <w:multiLevelType w:val="hybridMultilevel"/>
    <w:tmpl w:val="74E01A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68E75B6"/>
    <w:multiLevelType w:val="hybridMultilevel"/>
    <w:tmpl w:val="40C8A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2A1B0A"/>
    <w:multiLevelType w:val="hybridMultilevel"/>
    <w:tmpl w:val="DCB00214"/>
    <w:lvl w:ilvl="0" w:tplc="2BB2AB80">
      <w:start w:val="1"/>
      <w:numFmt w:val="decimal"/>
      <w:pStyle w:val="Numberedlist"/>
      <w:lvlText w:val="%1."/>
      <w:lvlJc w:val="left"/>
      <w:pPr>
        <w:ind w:left="567" w:hanging="207"/>
      </w:pPr>
      <w:rPr>
        <w:rFonts w:ascii="Griffith Sans Text" w:hAnsi="Griffith Sans Text" w:cs="Arial" w:hint="default"/>
        <w:color w:val="E51F3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6825147">
    <w:abstractNumId w:val="23"/>
  </w:num>
  <w:num w:numId="2" w16cid:durableId="1126041565">
    <w:abstractNumId w:val="16"/>
  </w:num>
  <w:num w:numId="3" w16cid:durableId="218833091">
    <w:abstractNumId w:val="2"/>
  </w:num>
  <w:num w:numId="4" w16cid:durableId="944117931">
    <w:abstractNumId w:val="7"/>
  </w:num>
  <w:num w:numId="5" w16cid:durableId="754860717">
    <w:abstractNumId w:val="4"/>
  </w:num>
  <w:num w:numId="6" w16cid:durableId="105849864">
    <w:abstractNumId w:val="8"/>
  </w:num>
  <w:num w:numId="7" w16cid:durableId="2144034038">
    <w:abstractNumId w:val="1"/>
  </w:num>
  <w:num w:numId="8" w16cid:durableId="910892727">
    <w:abstractNumId w:val="12"/>
  </w:num>
  <w:num w:numId="9" w16cid:durableId="134108041">
    <w:abstractNumId w:val="20"/>
  </w:num>
  <w:num w:numId="10" w16cid:durableId="1571117831">
    <w:abstractNumId w:val="17"/>
  </w:num>
  <w:num w:numId="11" w16cid:durableId="1775592672">
    <w:abstractNumId w:val="9"/>
  </w:num>
  <w:num w:numId="12" w16cid:durableId="481316614">
    <w:abstractNumId w:val="19"/>
  </w:num>
  <w:num w:numId="13" w16cid:durableId="715159681">
    <w:abstractNumId w:val="13"/>
  </w:num>
  <w:num w:numId="14" w16cid:durableId="1219515120">
    <w:abstractNumId w:val="13"/>
  </w:num>
  <w:num w:numId="15" w16cid:durableId="1949653411">
    <w:abstractNumId w:val="5"/>
  </w:num>
  <w:num w:numId="16" w16cid:durableId="55671178">
    <w:abstractNumId w:val="13"/>
  </w:num>
  <w:num w:numId="17" w16cid:durableId="288049171">
    <w:abstractNumId w:val="13"/>
  </w:num>
  <w:num w:numId="18" w16cid:durableId="1787194854">
    <w:abstractNumId w:val="9"/>
    <w:lvlOverride w:ilvl="0">
      <w:startOverride w:val="1"/>
    </w:lvlOverride>
  </w:num>
  <w:num w:numId="19" w16cid:durableId="1171215398">
    <w:abstractNumId w:val="9"/>
    <w:lvlOverride w:ilvl="0">
      <w:startOverride w:val="1"/>
    </w:lvlOverride>
  </w:num>
  <w:num w:numId="20" w16cid:durableId="441263637">
    <w:abstractNumId w:val="9"/>
    <w:lvlOverride w:ilvl="0">
      <w:startOverride w:val="1"/>
    </w:lvlOverride>
  </w:num>
  <w:num w:numId="21" w16cid:durableId="1317413881">
    <w:abstractNumId w:val="11"/>
  </w:num>
  <w:num w:numId="22" w16cid:durableId="144666216">
    <w:abstractNumId w:val="0"/>
  </w:num>
  <w:num w:numId="23" w16cid:durableId="818962179">
    <w:abstractNumId w:val="15"/>
  </w:num>
  <w:num w:numId="24" w16cid:durableId="356856373">
    <w:abstractNumId w:val="18"/>
  </w:num>
  <w:num w:numId="25" w16cid:durableId="1648047608">
    <w:abstractNumId w:val="13"/>
  </w:num>
  <w:num w:numId="26" w16cid:durableId="1775200209">
    <w:abstractNumId w:val="9"/>
    <w:lvlOverride w:ilvl="0">
      <w:startOverride w:val="1"/>
    </w:lvlOverride>
  </w:num>
  <w:num w:numId="27" w16cid:durableId="1119059612">
    <w:abstractNumId w:val="3"/>
  </w:num>
  <w:num w:numId="28" w16cid:durableId="1856649183">
    <w:abstractNumId w:val="14"/>
  </w:num>
  <w:num w:numId="29" w16cid:durableId="614869057">
    <w:abstractNumId w:val="22"/>
  </w:num>
  <w:num w:numId="30" w16cid:durableId="2057074470">
    <w:abstractNumId w:val="21"/>
  </w:num>
  <w:num w:numId="31" w16cid:durableId="481966325">
    <w:abstractNumId w:val="6"/>
  </w:num>
  <w:num w:numId="32" w16cid:durableId="202343070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015"/>
    <w:rsid w:val="000034FF"/>
    <w:rsid w:val="00011378"/>
    <w:rsid w:val="00041C55"/>
    <w:rsid w:val="00044797"/>
    <w:rsid w:val="00046ECA"/>
    <w:rsid w:val="00050214"/>
    <w:rsid w:val="0006085E"/>
    <w:rsid w:val="000711EB"/>
    <w:rsid w:val="00091015"/>
    <w:rsid w:val="00092532"/>
    <w:rsid w:val="00092A8F"/>
    <w:rsid w:val="000A1AAE"/>
    <w:rsid w:val="000B2D67"/>
    <w:rsid w:val="000B3228"/>
    <w:rsid w:val="000B4ABF"/>
    <w:rsid w:val="000C7E74"/>
    <w:rsid w:val="000D0E23"/>
    <w:rsid w:val="000D74AE"/>
    <w:rsid w:val="000E215A"/>
    <w:rsid w:val="000E4948"/>
    <w:rsid w:val="000E6765"/>
    <w:rsid w:val="00111757"/>
    <w:rsid w:val="00130831"/>
    <w:rsid w:val="00165DC7"/>
    <w:rsid w:val="0017315C"/>
    <w:rsid w:val="00173801"/>
    <w:rsid w:val="00174511"/>
    <w:rsid w:val="00183E7B"/>
    <w:rsid w:val="00186C3A"/>
    <w:rsid w:val="001B1B96"/>
    <w:rsid w:val="001B1ECB"/>
    <w:rsid w:val="001C55F4"/>
    <w:rsid w:val="001C6228"/>
    <w:rsid w:val="001E02B3"/>
    <w:rsid w:val="001E42B6"/>
    <w:rsid w:val="001E6AB2"/>
    <w:rsid w:val="001F3DB9"/>
    <w:rsid w:val="001F6E29"/>
    <w:rsid w:val="00213E5D"/>
    <w:rsid w:val="002205BE"/>
    <w:rsid w:val="00243753"/>
    <w:rsid w:val="00250C6E"/>
    <w:rsid w:val="00251B07"/>
    <w:rsid w:val="0025664D"/>
    <w:rsid w:val="00283696"/>
    <w:rsid w:val="00284547"/>
    <w:rsid w:val="00286144"/>
    <w:rsid w:val="002A64F1"/>
    <w:rsid w:val="002B7753"/>
    <w:rsid w:val="002D6F02"/>
    <w:rsid w:val="002F0880"/>
    <w:rsid w:val="00301049"/>
    <w:rsid w:val="003441F9"/>
    <w:rsid w:val="00350818"/>
    <w:rsid w:val="0035234E"/>
    <w:rsid w:val="00357709"/>
    <w:rsid w:val="00367148"/>
    <w:rsid w:val="00381B4B"/>
    <w:rsid w:val="00390E66"/>
    <w:rsid w:val="00395D6B"/>
    <w:rsid w:val="003A0FCA"/>
    <w:rsid w:val="003A1090"/>
    <w:rsid w:val="003A2B4C"/>
    <w:rsid w:val="003B3213"/>
    <w:rsid w:val="003B363C"/>
    <w:rsid w:val="003C2554"/>
    <w:rsid w:val="003C31C6"/>
    <w:rsid w:val="003E0448"/>
    <w:rsid w:val="003E5D85"/>
    <w:rsid w:val="003F066A"/>
    <w:rsid w:val="00402775"/>
    <w:rsid w:val="00404F10"/>
    <w:rsid w:val="00412C03"/>
    <w:rsid w:val="00413D0E"/>
    <w:rsid w:val="004416B8"/>
    <w:rsid w:val="00457B0F"/>
    <w:rsid w:val="0046491E"/>
    <w:rsid w:val="0046628A"/>
    <w:rsid w:val="004810EA"/>
    <w:rsid w:val="004833C8"/>
    <w:rsid w:val="00490D1D"/>
    <w:rsid w:val="0049683B"/>
    <w:rsid w:val="004A4DDF"/>
    <w:rsid w:val="004A79A1"/>
    <w:rsid w:val="004B5092"/>
    <w:rsid w:val="004C4B21"/>
    <w:rsid w:val="004C5C4C"/>
    <w:rsid w:val="004C7557"/>
    <w:rsid w:val="004D15A3"/>
    <w:rsid w:val="004E3835"/>
    <w:rsid w:val="004E62C3"/>
    <w:rsid w:val="004F38B4"/>
    <w:rsid w:val="00516015"/>
    <w:rsid w:val="00530792"/>
    <w:rsid w:val="00547744"/>
    <w:rsid w:val="005632D1"/>
    <w:rsid w:val="005652D8"/>
    <w:rsid w:val="00574B6B"/>
    <w:rsid w:val="00576304"/>
    <w:rsid w:val="00587092"/>
    <w:rsid w:val="00587C66"/>
    <w:rsid w:val="00591EF3"/>
    <w:rsid w:val="005946E3"/>
    <w:rsid w:val="005B0E28"/>
    <w:rsid w:val="005B2F57"/>
    <w:rsid w:val="005C55AB"/>
    <w:rsid w:val="005E0FC2"/>
    <w:rsid w:val="005E3FC9"/>
    <w:rsid w:val="005F1E45"/>
    <w:rsid w:val="00605C30"/>
    <w:rsid w:val="00612F7C"/>
    <w:rsid w:val="00615B8C"/>
    <w:rsid w:val="00624915"/>
    <w:rsid w:val="006563B6"/>
    <w:rsid w:val="00662F48"/>
    <w:rsid w:val="006647EF"/>
    <w:rsid w:val="006703E8"/>
    <w:rsid w:val="006704E1"/>
    <w:rsid w:val="0067748E"/>
    <w:rsid w:val="00677BD6"/>
    <w:rsid w:val="00681860"/>
    <w:rsid w:val="006847D6"/>
    <w:rsid w:val="006914CD"/>
    <w:rsid w:val="006931A3"/>
    <w:rsid w:val="006953AB"/>
    <w:rsid w:val="00696A9C"/>
    <w:rsid w:val="0069740D"/>
    <w:rsid w:val="006B6EE2"/>
    <w:rsid w:val="006C3C4B"/>
    <w:rsid w:val="006D109E"/>
    <w:rsid w:val="006D3B86"/>
    <w:rsid w:val="006E2C0B"/>
    <w:rsid w:val="006E46CA"/>
    <w:rsid w:val="006E6602"/>
    <w:rsid w:val="006F4FBB"/>
    <w:rsid w:val="006F6398"/>
    <w:rsid w:val="00720099"/>
    <w:rsid w:val="00723B68"/>
    <w:rsid w:val="00726C52"/>
    <w:rsid w:val="007273D3"/>
    <w:rsid w:val="00741104"/>
    <w:rsid w:val="00741442"/>
    <w:rsid w:val="0075060E"/>
    <w:rsid w:val="007638F5"/>
    <w:rsid w:val="0077115A"/>
    <w:rsid w:val="0078788E"/>
    <w:rsid w:val="00790E49"/>
    <w:rsid w:val="00797D1E"/>
    <w:rsid w:val="007A214C"/>
    <w:rsid w:val="007A4776"/>
    <w:rsid w:val="007B238D"/>
    <w:rsid w:val="007B5FE1"/>
    <w:rsid w:val="007C70E6"/>
    <w:rsid w:val="007D33E6"/>
    <w:rsid w:val="007F7A01"/>
    <w:rsid w:val="00800DAB"/>
    <w:rsid w:val="008161BA"/>
    <w:rsid w:val="00822B8B"/>
    <w:rsid w:val="00831E13"/>
    <w:rsid w:val="008325DC"/>
    <w:rsid w:val="00851866"/>
    <w:rsid w:val="00857DF4"/>
    <w:rsid w:val="00886004"/>
    <w:rsid w:val="0089125D"/>
    <w:rsid w:val="008A460B"/>
    <w:rsid w:val="008B160E"/>
    <w:rsid w:val="008B20D0"/>
    <w:rsid w:val="008B7DF7"/>
    <w:rsid w:val="008D2627"/>
    <w:rsid w:val="008D4E2C"/>
    <w:rsid w:val="008D533D"/>
    <w:rsid w:val="008E704E"/>
    <w:rsid w:val="00901D94"/>
    <w:rsid w:val="00903472"/>
    <w:rsid w:val="00914EB9"/>
    <w:rsid w:val="0092555D"/>
    <w:rsid w:val="0093059E"/>
    <w:rsid w:val="0093133F"/>
    <w:rsid w:val="00941BC9"/>
    <w:rsid w:val="00946870"/>
    <w:rsid w:val="00951A89"/>
    <w:rsid w:val="00963D24"/>
    <w:rsid w:val="00983CDC"/>
    <w:rsid w:val="00986094"/>
    <w:rsid w:val="009A7894"/>
    <w:rsid w:val="009C5019"/>
    <w:rsid w:val="009E4728"/>
    <w:rsid w:val="009E57CA"/>
    <w:rsid w:val="009F27A8"/>
    <w:rsid w:val="00A03598"/>
    <w:rsid w:val="00A0429E"/>
    <w:rsid w:val="00A2201B"/>
    <w:rsid w:val="00A25FA4"/>
    <w:rsid w:val="00A57B83"/>
    <w:rsid w:val="00A64006"/>
    <w:rsid w:val="00A67558"/>
    <w:rsid w:val="00A72911"/>
    <w:rsid w:val="00A73DE2"/>
    <w:rsid w:val="00A74EBC"/>
    <w:rsid w:val="00A75A5B"/>
    <w:rsid w:val="00AA3166"/>
    <w:rsid w:val="00AA32AC"/>
    <w:rsid w:val="00AA46CC"/>
    <w:rsid w:val="00AA61FE"/>
    <w:rsid w:val="00AC4720"/>
    <w:rsid w:val="00AE5576"/>
    <w:rsid w:val="00AE5AFB"/>
    <w:rsid w:val="00B04A36"/>
    <w:rsid w:val="00B247D2"/>
    <w:rsid w:val="00B25B34"/>
    <w:rsid w:val="00B42FA3"/>
    <w:rsid w:val="00B460AE"/>
    <w:rsid w:val="00B63AE3"/>
    <w:rsid w:val="00B91CD7"/>
    <w:rsid w:val="00BA504C"/>
    <w:rsid w:val="00BA6F6A"/>
    <w:rsid w:val="00BA732E"/>
    <w:rsid w:val="00BC0870"/>
    <w:rsid w:val="00BD1FDF"/>
    <w:rsid w:val="00BD77E0"/>
    <w:rsid w:val="00BE7B7A"/>
    <w:rsid w:val="00BF4B66"/>
    <w:rsid w:val="00C01E70"/>
    <w:rsid w:val="00C36571"/>
    <w:rsid w:val="00C42EF9"/>
    <w:rsid w:val="00C54D90"/>
    <w:rsid w:val="00C71D95"/>
    <w:rsid w:val="00C73E39"/>
    <w:rsid w:val="00C839BD"/>
    <w:rsid w:val="00C90FC2"/>
    <w:rsid w:val="00C95B7D"/>
    <w:rsid w:val="00C96C77"/>
    <w:rsid w:val="00CB19AA"/>
    <w:rsid w:val="00CB5319"/>
    <w:rsid w:val="00CD4C1D"/>
    <w:rsid w:val="00CE5CF2"/>
    <w:rsid w:val="00CF30DF"/>
    <w:rsid w:val="00D03ED2"/>
    <w:rsid w:val="00D118BD"/>
    <w:rsid w:val="00D23057"/>
    <w:rsid w:val="00D3682E"/>
    <w:rsid w:val="00D5030C"/>
    <w:rsid w:val="00D56821"/>
    <w:rsid w:val="00D7238D"/>
    <w:rsid w:val="00D74EC6"/>
    <w:rsid w:val="00D87462"/>
    <w:rsid w:val="00DA2031"/>
    <w:rsid w:val="00DB5AB6"/>
    <w:rsid w:val="00DC4265"/>
    <w:rsid w:val="00DC786F"/>
    <w:rsid w:val="00DD4AEF"/>
    <w:rsid w:val="00DF187C"/>
    <w:rsid w:val="00DF2BC4"/>
    <w:rsid w:val="00E035C3"/>
    <w:rsid w:val="00E1731B"/>
    <w:rsid w:val="00E21C2A"/>
    <w:rsid w:val="00E27B0E"/>
    <w:rsid w:val="00E37243"/>
    <w:rsid w:val="00E55F80"/>
    <w:rsid w:val="00E6398E"/>
    <w:rsid w:val="00E708B0"/>
    <w:rsid w:val="00E7504F"/>
    <w:rsid w:val="00E84506"/>
    <w:rsid w:val="00E9545F"/>
    <w:rsid w:val="00E95719"/>
    <w:rsid w:val="00E972CC"/>
    <w:rsid w:val="00EB3589"/>
    <w:rsid w:val="00EC7F76"/>
    <w:rsid w:val="00ED4EBF"/>
    <w:rsid w:val="00EE393D"/>
    <w:rsid w:val="00F13B61"/>
    <w:rsid w:val="00F21A36"/>
    <w:rsid w:val="00F23211"/>
    <w:rsid w:val="00F2511D"/>
    <w:rsid w:val="00F42EBD"/>
    <w:rsid w:val="00F4625E"/>
    <w:rsid w:val="00F63754"/>
    <w:rsid w:val="00F64F1B"/>
    <w:rsid w:val="00F67C5F"/>
    <w:rsid w:val="00F70578"/>
    <w:rsid w:val="00F70C0E"/>
    <w:rsid w:val="00FB0CC2"/>
    <w:rsid w:val="00FB19C3"/>
    <w:rsid w:val="00FB4487"/>
    <w:rsid w:val="00FB7E4B"/>
    <w:rsid w:val="00FC2318"/>
    <w:rsid w:val="00FC51CC"/>
    <w:rsid w:val="00FE4ADE"/>
    <w:rsid w:val="00FF1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56F4EF"/>
  <w15:docId w15:val="{014191D4-DB5F-4B41-855A-1C1075262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3C4B"/>
  </w:style>
  <w:style w:type="paragraph" w:styleId="Heading1">
    <w:name w:val="heading 1"/>
    <w:basedOn w:val="Normal"/>
    <w:next w:val="Normal"/>
    <w:link w:val="Heading1Char"/>
    <w:uiPriority w:val="9"/>
    <w:qFormat/>
    <w:rsid w:val="000A1A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B333B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E02B3"/>
    <w:pPr>
      <w:keepNext/>
      <w:keepLines/>
      <w:numPr>
        <w:numId w:val="11"/>
      </w:numPr>
      <w:spacing w:before="120" w:after="120" w:line="276" w:lineRule="auto"/>
      <w:ind w:left="0" w:firstLine="720"/>
      <w:jc w:val="both"/>
      <w:outlineLvl w:val="1"/>
    </w:pPr>
    <w:rPr>
      <w:rFonts w:asciiTheme="majorHAnsi" w:eastAsiaTheme="majorEastAsia" w:hAnsiTheme="majorHAnsi" w:cstheme="majorHAnsi"/>
      <w:b/>
      <w:bCs/>
      <w:iCs/>
      <w:color w:val="CB333B"/>
      <w:sz w:val="24"/>
      <w:szCs w:val="24"/>
      <w:lang w:val="bg-BG" w:eastAsia="en-AU"/>
    </w:rPr>
  </w:style>
  <w:style w:type="paragraph" w:styleId="Heading3">
    <w:name w:val="heading 3"/>
    <w:aliases w:val="Heading Roman"/>
    <w:basedOn w:val="Normal"/>
    <w:next w:val="Normal"/>
    <w:link w:val="Heading3Char"/>
    <w:autoRedefine/>
    <w:uiPriority w:val="9"/>
    <w:unhideWhenUsed/>
    <w:qFormat/>
    <w:rsid w:val="004C7557"/>
    <w:pPr>
      <w:keepNext/>
      <w:keepLines/>
      <w:numPr>
        <w:numId w:val="13"/>
      </w:numPr>
      <w:spacing w:before="200" w:after="0" w:line="276" w:lineRule="auto"/>
      <w:ind w:left="641" w:hanging="357"/>
      <w:outlineLvl w:val="2"/>
    </w:pPr>
    <w:rPr>
      <w:rFonts w:eastAsiaTheme="majorEastAsia" w:cstheme="minorHAnsi"/>
      <w:b/>
      <w:bCs/>
      <w:color w:val="CB333B"/>
      <w:sz w:val="24"/>
      <w:szCs w:val="24"/>
      <w:lang w:val="bg-BG" w:eastAsia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04A36"/>
    <w:pPr>
      <w:keepNext/>
      <w:keepLines/>
      <w:spacing w:before="200" w:after="120" w:line="276" w:lineRule="auto"/>
      <w:outlineLvl w:val="3"/>
    </w:pPr>
    <w:rPr>
      <w:rFonts w:ascii="Griffith Sans Text" w:eastAsiaTheme="majorEastAsia" w:hAnsi="Griffith Sans Text" w:cs="Times New Roman (Headings CS)"/>
      <w:b/>
      <w:bCs/>
      <w:iCs/>
      <w:sz w:val="24"/>
      <w:lang w:val="en-AU"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04A36"/>
    <w:pPr>
      <w:keepNext/>
      <w:keepLines/>
      <w:spacing w:before="200" w:after="120" w:line="276" w:lineRule="auto"/>
      <w:outlineLvl w:val="4"/>
    </w:pPr>
    <w:rPr>
      <w:rFonts w:ascii="Griffith Sans Text" w:eastAsiaTheme="majorEastAsia" w:hAnsi="Griffith Sans Text" w:cs="Times New Roman (Headings CS)"/>
      <w:b/>
      <w:sz w:val="20"/>
      <w:lang w:val="en-AU" w:eastAsia="en-AU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E7B7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4191D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72C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72CC"/>
  </w:style>
  <w:style w:type="paragraph" w:styleId="Footer">
    <w:name w:val="footer"/>
    <w:basedOn w:val="Normal"/>
    <w:link w:val="FooterChar"/>
    <w:uiPriority w:val="99"/>
    <w:unhideWhenUsed/>
    <w:rsid w:val="00E972C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72CC"/>
  </w:style>
  <w:style w:type="paragraph" w:styleId="NoSpacing">
    <w:name w:val="No Spacing"/>
    <w:link w:val="NoSpacingChar"/>
    <w:uiPriority w:val="1"/>
    <w:qFormat/>
    <w:rsid w:val="00186C3A"/>
    <w:pPr>
      <w:spacing w:after="0" w:line="240" w:lineRule="auto"/>
    </w:pPr>
    <w:rPr>
      <w:rFonts w:eastAsiaTheme="minorEastAsia"/>
      <w:kern w:val="0"/>
    </w:rPr>
  </w:style>
  <w:style w:type="character" w:customStyle="1" w:styleId="NoSpacingChar">
    <w:name w:val="No Spacing Char"/>
    <w:basedOn w:val="DefaultParagraphFont"/>
    <w:link w:val="NoSpacing"/>
    <w:uiPriority w:val="1"/>
    <w:rsid w:val="00186C3A"/>
    <w:rPr>
      <w:rFonts w:eastAsiaTheme="minorEastAsia"/>
      <w:kern w:val="0"/>
    </w:rPr>
  </w:style>
  <w:style w:type="character" w:styleId="PlaceholderText">
    <w:name w:val="Placeholder Text"/>
    <w:basedOn w:val="DefaultParagraphFont"/>
    <w:uiPriority w:val="99"/>
    <w:semiHidden/>
    <w:rsid w:val="00186C3A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0A1AAE"/>
    <w:rPr>
      <w:rFonts w:asciiTheme="majorHAnsi" w:eastAsiaTheme="majorEastAsia" w:hAnsiTheme="majorHAnsi" w:cstheme="majorBidi"/>
      <w:color w:val="CB333B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A1AAE"/>
    <w:pPr>
      <w:outlineLvl w:val="9"/>
    </w:pPr>
    <w:rPr>
      <w:kern w:val="0"/>
    </w:rPr>
  </w:style>
  <w:style w:type="character" w:customStyle="1" w:styleId="Heading2Char">
    <w:name w:val="Heading 2 Char"/>
    <w:basedOn w:val="DefaultParagraphFont"/>
    <w:link w:val="Heading2"/>
    <w:uiPriority w:val="9"/>
    <w:rsid w:val="001E02B3"/>
    <w:rPr>
      <w:rFonts w:asciiTheme="majorHAnsi" w:eastAsiaTheme="majorEastAsia" w:hAnsiTheme="majorHAnsi" w:cstheme="majorHAnsi"/>
      <w:b/>
      <w:bCs/>
      <w:iCs/>
      <w:color w:val="CB333B"/>
      <w:sz w:val="24"/>
      <w:szCs w:val="24"/>
      <w:lang w:val="bg-BG" w:eastAsia="en-AU"/>
    </w:rPr>
  </w:style>
  <w:style w:type="character" w:customStyle="1" w:styleId="Heading3Char">
    <w:name w:val="Heading 3 Char"/>
    <w:aliases w:val="Heading Roman Char"/>
    <w:basedOn w:val="DefaultParagraphFont"/>
    <w:link w:val="Heading3"/>
    <w:uiPriority w:val="9"/>
    <w:rsid w:val="004C7557"/>
    <w:rPr>
      <w:rFonts w:eastAsiaTheme="majorEastAsia" w:cstheme="minorHAnsi"/>
      <w:b/>
      <w:bCs/>
      <w:color w:val="CB333B"/>
      <w:sz w:val="24"/>
      <w:szCs w:val="24"/>
      <w:lang w:val="bg-BG"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B04A36"/>
    <w:rPr>
      <w:rFonts w:ascii="Griffith Sans Text" w:eastAsiaTheme="majorEastAsia" w:hAnsi="Griffith Sans Text" w:cs="Times New Roman (Headings CS)"/>
      <w:b/>
      <w:bCs/>
      <w:iCs/>
      <w:sz w:val="24"/>
      <w:lang w:val="en-AU"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B04A36"/>
    <w:rPr>
      <w:rFonts w:ascii="Griffith Sans Text" w:eastAsiaTheme="majorEastAsia" w:hAnsi="Griffith Sans Text" w:cs="Times New Roman (Headings CS)"/>
      <w:b/>
      <w:sz w:val="20"/>
      <w:lang w:val="en-AU" w:eastAsia="en-AU"/>
    </w:rPr>
  </w:style>
  <w:style w:type="paragraph" w:styleId="ListParagraph">
    <w:name w:val="List Paragraph"/>
    <w:basedOn w:val="Normal"/>
    <w:uiPriority w:val="34"/>
    <w:qFormat/>
    <w:rsid w:val="00B04A36"/>
    <w:pPr>
      <w:numPr>
        <w:numId w:val="2"/>
      </w:numPr>
      <w:spacing w:after="200" w:line="276" w:lineRule="auto"/>
    </w:pPr>
    <w:rPr>
      <w:rFonts w:ascii="Griffith Sans Text" w:hAnsi="Griffith Sans Text" w:cs="Times New Roman (Body CS)"/>
      <w:color w:val="000000" w:themeColor="text1"/>
      <w:sz w:val="18"/>
      <w:lang w:val="en-AU" w:eastAsia="en-AU"/>
    </w:rPr>
  </w:style>
  <w:style w:type="paragraph" w:customStyle="1" w:styleId="Numberedlist">
    <w:name w:val="Numbered list"/>
    <w:basedOn w:val="ListParagraph"/>
    <w:qFormat/>
    <w:rsid w:val="00B04A36"/>
    <w:pPr>
      <w:numPr>
        <w:numId w:val="1"/>
      </w:numPr>
      <w:ind w:left="433" w:hanging="433"/>
    </w:pPr>
  </w:style>
  <w:style w:type="character" w:styleId="Hyperlink">
    <w:name w:val="Hyperlink"/>
    <w:basedOn w:val="DefaultParagraphFont"/>
    <w:uiPriority w:val="99"/>
    <w:unhideWhenUsed/>
    <w:qFormat/>
    <w:rsid w:val="00F64F1B"/>
    <w:rPr>
      <w:rFonts w:cs="Arial"/>
      <w:color w:val="0070C0"/>
      <w:sz w:val="22"/>
      <w:u w:val="single"/>
    </w:rPr>
  </w:style>
  <w:style w:type="paragraph" w:customStyle="1" w:styleId="NormalWhite">
    <w:name w:val="Normal (White)"/>
    <w:basedOn w:val="Normal"/>
    <w:qFormat/>
    <w:rsid w:val="00B04A36"/>
    <w:pPr>
      <w:spacing w:after="200" w:line="276" w:lineRule="auto"/>
      <w:jc w:val="both"/>
    </w:pPr>
    <w:rPr>
      <w:rFonts w:ascii="Arial" w:hAnsi="Arial"/>
      <w:color w:val="FFFFFF" w:themeColor="background1"/>
      <w:kern w:val="0"/>
      <w:sz w:val="20"/>
      <w:u w:color="F04E45"/>
      <w:lang w:val="en-AU" w:eastAsia="en-AU"/>
    </w:rPr>
  </w:style>
  <w:style w:type="table" w:styleId="TableGrid">
    <w:name w:val="Table Grid"/>
    <w:basedOn w:val="TableNormal"/>
    <w:uiPriority w:val="59"/>
    <w:rsid w:val="00B04A36"/>
    <w:pPr>
      <w:spacing w:after="0" w:line="240" w:lineRule="auto"/>
    </w:pPr>
    <w:rPr>
      <w:kern w:val="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77115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7115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7115A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B25B34"/>
    <w:rPr>
      <w:color w:val="E80554" w:themeColor="followedHyperlink"/>
      <w:u w:val="single"/>
    </w:rPr>
  </w:style>
  <w:style w:type="paragraph" w:styleId="Title">
    <w:name w:val="Title"/>
    <w:basedOn w:val="NoSpacing"/>
    <w:next w:val="Normal"/>
    <w:link w:val="TitleChar"/>
    <w:uiPriority w:val="10"/>
    <w:qFormat/>
    <w:rsid w:val="00BA6F6A"/>
    <w:pPr>
      <w:framePr w:hSpace="187" w:wrap="around" w:vAnchor="page" w:hAnchor="margin" w:y="4477"/>
      <w:spacing w:line="216" w:lineRule="auto"/>
    </w:pPr>
    <w:rPr>
      <w:rFonts w:eastAsia="Times New Roman" w:cstheme="minorHAnsi"/>
      <w:color w:val="7F7F7F"/>
      <w:kern w:val="2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A6F6A"/>
    <w:rPr>
      <w:rFonts w:eastAsia="Times New Roman" w:cstheme="minorHAnsi"/>
      <w:color w:val="7F7F7F"/>
      <w:sz w:val="72"/>
      <w:szCs w:val="72"/>
    </w:rPr>
  </w:style>
  <w:style w:type="paragraph" w:styleId="Subtitle">
    <w:name w:val="Subtitle"/>
    <w:basedOn w:val="NoSpacing"/>
    <w:next w:val="Normal"/>
    <w:link w:val="SubtitleChar"/>
    <w:uiPriority w:val="11"/>
    <w:qFormat/>
    <w:rsid w:val="00BA6F6A"/>
    <w:pPr>
      <w:framePr w:hSpace="187" w:wrap="around" w:vAnchor="page" w:hAnchor="margin" w:y="4477"/>
    </w:pPr>
    <w:rPr>
      <w:color w:val="97262C" w:themeColor="accent1" w:themeShade="B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A6F6A"/>
    <w:rPr>
      <w:rFonts w:eastAsiaTheme="minorEastAsia"/>
      <w:color w:val="97262C" w:themeColor="accent1" w:themeShade="BF"/>
      <w:kern w:val="0"/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00283696"/>
    <w:rPr>
      <w:smallCap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7B7A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SimSun" w:hAnsi="Times New Roman" w:cs="Times New Roman"/>
      <w:b/>
      <w:bCs/>
      <w:i/>
      <w:iCs/>
      <w:color w:val="4F81BD"/>
      <w:kern w:val="0"/>
      <w:sz w:val="24"/>
      <w:szCs w:val="24"/>
      <w:lang w:eastAsia="zh-CN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7B7A"/>
    <w:rPr>
      <w:rFonts w:ascii="Times New Roman" w:eastAsia="SimSun" w:hAnsi="Times New Roman" w:cs="Times New Roman"/>
      <w:b/>
      <w:bCs/>
      <w:i/>
      <w:iCs/>
      <w:color w:val="4F81BD"/>
      <w:kern w:val="0"/>
      <w:sz w:val="24"/>
      <w:szCs w:val="24"/>
      <w:lang w:eastAsia="zh-CN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BE7B7A"/>
    <w:rPr>
      <w:i/>
      <w:iCs/>
      <w:color w:val="CB333B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BE7B7A"/>
    <w:rPr>
      <w:rFonts w:asciiTheme="majorHAnsi" w:eastAsiaTheme="majorEastAsia" w:hAnsiTheme="majorHAnsi" w:cstheme="majorBidi"/>
      <w:color w:val="64191D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8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antchoff\Documents\BalkancarZARYA\Otchet2024\GFO-word-template-2025.dotx" TargetMode="External"/></Relationships>
</file>

<file path=word/theme/theme1.xml><?xml version="1.0" encoding="utf-8"?>
<a:theme xmlns:a="http://schemas.openxmlformats.org/drawingml/2006/main" name="Office Theme">
  <a:themeElements>
    <a:clrScheme name="Custom BKZ">
      <a:dk1>
        <a:sysClr val="windowText" lastClr="000000"/>
      </a:dk1>
      <a:lt1>
        <a:srgbClr val="FFFFFF"/>
      </a:lt1>
      <a:dk2>
        <a:srgbClr val="616161"/>
      </a:dk2>
      <a:lt2>
        <a:srgbClr val="F2F2F2"/>
      </a:lt2>
      <a:accent1>
        <a:srgbClr val="CB333B"/>
      </a:accent1>
      <a:accent2>
        <a:srgbClr val="FF0000"/>
      </a:accent2>
      <a:accent3>
        <a:srgbClr val="BFBFBF"/>
      </a:accent3>
      <a:accent4>
        <a:srgbClr val="616161"/>
      </a:accent4>
      <a:accent5>
        <a:srgbClr val="1A0F49"/>
      </a:accent5>
      <a:accent6>
        <a:srgbClr val="CC3333"/>
      </a:accent6>
      <a:hlink>
        <a:srgbClr val="E80554"/>
      </a:hlink>
      <a:folHlink>
        <a:srgbClr val="E8055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2024-08-20T00:00:00</PublishDate>
  <Abstract/>
  <CompanyAddress>1, Tosho Katev street, 5200 Pavlikeni, Bulgaria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B8F9CDC-004F-413C-85A0-A5F5D7E6A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GFO-word-template-2025</Template>
  <TotalTime>415</TotalTime>
  <Pages>5</Pages>
  <Words>1219</Words>
  <Characters>6950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Балканкар ЗАРЯ АД Доклад за изпълнение на политиката за възнагражденията на членовете на Съвета на директорите</vt:lpstr>
    </vt:vector>
  </TitlesOfParts>
  <Company>balkancar zarya AD</Company>
  <LinksUpToDate>false</LinksUpToDate>
  <CharactersWithSpaces>8153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Балканкар ЗАРЯ АД Доклад за изпълнение на политиката за възнагражденията на членовете на Съвета на директорите</dc:title>
  <dc:subject>Съгласно Приложение №10 от Наредба 2, към чл.32, ал.1, т.2, чл.35,</dc:subject>
  <dc:creator>ivantchoff</dc:creator>
  <cp:keywords/>
  <dc:description/>
  <cp:lastModifiedBy>Emilia Marinova</cp:lastModifiedBy>
  <cp:revision>45</cp:revision>
  <cp:lastPrinted>2025-10-29T06:56:00Z</cp:lastPrinted>
  <dcterms:created xsi:type="dcterms:W3CDTF">2025-03-13T10:16:00Z</dcterms:created>
  <dcterms:modified xsi:type="dcterms:W3CDTF">2026-01-29T06:54:00Z</dcterms:modified>
  <cp:category/>
</cp:coreProperties>
</file>